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8E7" w:rsidRDefault="00721935">
      <w:pPr>
        <w:spacing w:before="200" w:after="1000" w:line="560" w:lineRule="exact"/>
        <w:jc w:val="center"/>
        <w:rPr>
          <w:rFonts w:ascii="宋体" w:eastAsia="宋体" w:hAnsi="宋体" w:cs="宋体"/>
          <w:sz w:val="18"/>
          <w:szCs w:val="18"/>
        </w:rPr>
      </w:pPr>
      <w:r>
        <w:rPr>
          <w:rFonts w:ascii="宋体" w:eastAsia="宋体" w:hAnsi="宋体" w:cs="宋体"/>
          <w:sz w:val="18"/>
          <w:szCs w:val="18"/>
        </w:rPr>
        <w:t>证券代码：000576                证券简称：甘化科工                公告编号：2025-</w:t>
      </w:r>
      <w:r w:rsidR="000E21B7">
        <w:rPr>
          <w:rFonts w:ascii="宋体" w:eastAsia="宋体" w:hAnsi="宋体" w:cs="宋体"/>
          <w:sz w:val="18"/>
          <w:szCs w:val="18"/>
        </w:rPr>
        <w:t>11</w:t>
      </w:r>
    </w:p>
    <w:p w:rsidR="004D58E7" w:rsidRDefault="00721935">
      <w:pPr>
        <w:spacing w:after="1000" w:line="400" w:lineRule="exact"/>
        <w:jc w:val="center"/>
        <w:rPr>
          <w:rFonts w:ascii="宋体" w:eastAsia="宋体" w:hAnsi="宋体" w:cs="宋体"/>
          <w:b/>
          <w:bCs/>
          <w:sz w:val="36"/>
          <w:szCs w:val="36"/>
        </w:rPr>
      </w:pPr>
      <w:r>
        <w:rPr>
          <w:rFonts w:ascii="宋体" w:eastAsia="宋体" w:hAnsi="宋体" w:cs="宋体"/>
          <w:b/>
          <w:bCs/>
          <w:sz w:val="36"/>
          <w:szCs w:val="36"/>
        </w:rPr>
        <w:t>广东甘化科工股份有限公司2024年度报告摘要</w:t>
      </w:r>
    </w:p>
    <w:p w:rsidR="004D58E7" w:rsidRDefault="00721935">
      <w:pPr>
        <w:pStyle w:val="2"/>
        <w:spacing w:before="300" w:after="300" w:line="320" w:lineRule="exact"/>
        <w:rPr>
          <w:rFonts w:ascii="宋体" w:eastAsia="宋体" w:hAnsi="宋体" w:cs="宋体"/>
          <w:b/>
          <w:bCs/>
          <w:sz w:val="24"/>
          <w:szCs w:val="24"/>
        </w:rPr>
      </w:pPr>
      <w:bookmarkStart w:id="0" w:name="_Toc988889"/>
      <w:r>
        <w:rPr>
          <w:rFonts w:ascii="宋体" w:eastAsia="宋体" w:hAnsi="宋体" w:cs="宋体"/>
          <w:b/>
          <w:bCs/>
          <w:sz w:val="24"/>
          <w:szCs w:val="24"/>
        </w:rPr>
        <w:t>一、重要提示</w:t>
      </w:r>
      <w:bookmarkEnd w:id="0"/>
    </w:p>
    <w:p w:rsidR="004D58E7" w:rsidRDefault="00721935" w:rsidP="00D00B91">
      <w:pPr>
        <w:spacing w:line="360" w:lineRule="auto"/>
        <w:rPr>
          <w:rFonts w:ascii="宋体" w:eastAsia="宋体" w:hAnsi="宋体" w:cs="宋体"/>
          <w:sz w:val="18"/>
          <w:szCs w:val="18"/>
        </w:rPr>
      </w:pPr>
      <w:r>
        <w:rPr>
          <w:rFonts w:ascii="宋体" w:eastAsia="宋体" w:hAnsi="宋体" w:cs="宋体"/>
          <w:sz w:val="18"/>
          <w:szCs w:val="18"/>
        </w:rPr>
        <w:t>本年度报告摘要来自年度报告全文，为全面了解本公司的经营成果、财务状况及未来发展规划，投资者应当到证监会指定媒体仔细阅读年度报告全文。</w:t>
      </w:r>
    </w:p>
    <w:p w:rsidR="004D58E7" w:rsidRDefault="00721935" w:rsidP="00D00B91">
      <w:pPr>
        <w:spacing w:line="360" w:lineRule="auto"/>
        <w:rPr>
          <w:rFonts w:ascii="宋体" w:eastAsia="宋体" w:hAnsi="宋体" w:cs="宋体"/>
          <w:sz w:val="18"/>
          <w:szCs w:val="18"/>
        </w:rPr>
      </w:pPr>
      <w:r>
        <w:rPr>
          <w:rFonts w:ascii="宋体" w:eastAsia="宋体" w:hAnsi="宋体" w:cs="宋体"/>
          <w:sz w:val="18"/>
          <w:szCs w:val="18"/>
        </w:rPr>
        <w:t>所有董事均已出席了审议本报告的董事会会议。</w:t>
      </w:r>
    </w:p>
    <w:p w:rsidR="004D58E7" w:rsidRDefault="00721935" w:rsidP="00D00B91">
      <w:pPr>
        <w:spacing w:line="360" w:lineRule="auto"/>
        <w:rPr>
          <w:rFonts w:ascii="宋体" w:eastAsia="宋体" w:hAnsi="宋体" w:cs="宋体"/>
          <w:sz w:val="18"/>
          <w:szCs w:val="18"/>
        </w:rPr>
      </w:pPr>
      <w:r>
        <w:rPr>
          <w:rFonts w:ascii="宋体" w:eastAsia="宋体" w:hAnsi="宋体" w:cs="宋体"/>
          <w:sz w:val="18"/>
          <w:szCs w:val="18"/>
        </w:rPr>
        <w:t>非标准审计意见提示</w:t>
      </w:r>
    </w:p>
    <w:p w:rsidR="004D58E7" w:rsidRDefault="00721935" w:rsidP="00D00B91">
      <w:pPr>
        <w:spacing w:line="360" w:lineRule="auto"/>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4D58E7" w:rsidRDefault="00721935" w:rsidP="00D00B91">
      <w:pPr>
        <w:spacing w:line="360" w:lineRule="auto"/>
        <w:rPr>
          <w:rFonts w:ascii="宋体" w:eastAsia="宋体" w:hAnsi="宋体" w:cs="宋体"/>
          <w:sz w:val="18"/>
          <w:szCs w:val="18"/>
        </w:rPr>
      </w:pPr>
      <w:r>
        <w:rPr>
          <w:rFonts w:ascii="宋体" w:eastAsia="宋体" w:hAnsi="宋体" w:cs="宋体"/>
          <w:sz w:val="18"/>
          <w:szCs w:val="18"/>
        </w:rPr>
        <w:t>董事会审议的报告期利润分配预案或公积金转增股本预案</w:t>
      </w:r>
    </w:p>
    <w:p w:rsidR="004D58E7" w:rsidRDefault="00721935" w:rsidP="00D00B91">
      <w:pPr>
        <w:spacing w:line="360" w:lineRule="auto"/>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4D58E7" w:rsidRDefault="00721935" w:rsidP="00D00B91">
      <w:pPr>
        <w:spacing w:line="360" w:lineRule="auto"/>
        <w:rPr>
          <w:rFonts w:ascii="宋体" w:eastAsia="宋体" w:hAnsi="宋体" w:cs="宋体"/>
          <w:sz w:val="18"/>
          <w:szCs w:val="18"/>
        </w:rPr>
      </w:pPr>
      <w:r>
        <w:rPr>
          <w:rFonts w:ascii="宋体" w:eastAsia="宋体" w:hAnsi="宋体" w:cs="宋体"/>
          <w:sz w:val="18"/>
          <w:szCs w:val="18"/>
        </w:rPr>
        <w:t>公司计划不派发现金红利，不送红股，不以公积金转增股本。</w:t>
      </w:r>
    </w:p>
    <w:p w:rsidR="004D58E7" w:rsidRDefault="00721935" w:rsidP="00D00B91">
      <w:pPr>
        <w:spacing w:line="360" w:lineRule="auto"/>
        <w:rPr>
          <w:rFonts w:ascii="宋体" w:eastAsia="宋体" w:hAnsi="宋体" w:cs="宋体"/>
          <w:sz w:val="18"/>
          <w:szCs w:val="18"/>
        </w:rPr>
      </w:pPr>
      <w:r>
        <w:rPr>
          <w:rFonts w:ascii="宋体" w:eastAsia="宋体" w:hAnsi="宋体" w:cs="宋体"/>
          <w:sz w:val="18"/>
          <w:szCs w:val="18"/>
        </w:rPr>
        <w:t>董事会决议通过的本报告期优先股利润分配预案</w:t>
      </w:r>
    </w:p>
    <w:p w:rsidR="004D58E7" w:rsidRDefault="00721935" w:rsidP="00D00B91">
      <w:pPr>
        <w:spacing w:line="360" w:lineRule="auto"/>
        <w:rPr>
          <w:rFonts w:ascii="宋体" w:eastAsia="宋体" w:hAnsi="宋体" w:cs="宋体"/>
          <w:sz w:val="18"/>
          <w:szCs w:val="18"/>
        </w:rPr>
      </w:pPr>
      <w:r>
        <w:rPr>
          <w:rFonts w:ascii="宋体" w:eastAsia="宋体" w:hAnsi="宋体" w:cs="宋体"/>
          <w:sz w:val="18"/>
          <w:szCs w:val="18"/>
        </w:rPr>
        <w:t xml:space="preserve">□适用 </w:t>
      </w:r>
      <w:r w:rsidR="000D1F3A">
        <w:rPr>
          <w:rFonts w:ascii="宋体" w:eastAsia="宋体" w:hAnsi="宋体" w:cs="宋体"/>
          <w:sz w:val="18"/>
          <w:szCs w:val="18"/>
        </w:rPr>
        <w:sym w:font="Wingdings 2" w:char="F052"/>
      </w:r>
      <w:r>
        <w:rPr>
          <w:rFonts w:ascii="宋体" w:eastAsia="宋体" w:hAnsi="宋体" w:cs="宋体"/>
          <w:sz w:val="18"/>
          <w:szCs w:val="18"/>
        </w:rPr>
        <w:t>不适用</w:t>
      </w:r>
    </w:p>
    <w:p w:rsidR="004D58E7" w:rsidRDefault="00721935">
      <w:pPr>
        <w:pStyle w:val="2"/>
        <w:spacing w:before="300" w:after="300" w:line="320" w:lineRule="exact"/>
        <w:rPr>
          <w:rFonts w:ascii="宋体" w:eastAsia="宋体" w:hAnsi="宋体" w:cs="宋体"/>
          <w:b/>
          <w:bCs/>
          <w:sz w:val="24"/>
          <w:szCs w:val="24"/>
        </w:rPr>
      </w:pPr>
      <w:bookmarkStart w:id="1" w:name="_Toc988890"/>
      <w:r>
        <w:rPr>
          <w:rFonts w:ascii="宋体" w:eastAsia="宋体" w:hAnsi="宋体" w:cs="宋体"/>
          <w:b/>
          <w:bCs/>
          <w:sz w:val="24"/>
          <w:szCs w:val="24"/>
        </w:rPr>
        <w:t>二、公司基本情况</w:t>
      </w:r>
      <w:bookmarkEnd w:id="1"/>
    </w:p>
    <w:p w:rsidR="004D58E7" w:rsidRDefault="00721935">
      <w:pPr>
        <w:pStyle w:val="3"/>
        <w:spacing w:line="280" w:lineRule="exact"/>
        <w:jc w:val="left"/>
        <w:rPr>
          <w:rFonts w:ascii="宋体" w:hAnsi="宋体" w:cs="宋体"/>
          <w:b/>
          <w:bCs/>
        </w:rPr>
      </w:pPr>
      <w:bookmarkStart w:id="2" w:name="_Toc988891"/>
      <w:r>
        <w:rPr>
          <w:rFonts w:ascii="宋体" w:hAnsi="宋体" w:cs="宋体"/>
          <w:b/>
          <w:bCs/>
        </w:rPr>
        <w:t>1、公司简介</w:t>
      </w:r>
      <w:bookmarkEnd w:id="2"/>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5199"/>
        <w:gridCol w:w="1480"/>
        <w:gridCol w:w="740"/>
        <w:gridCol w:w="740"/>
        <w:gridCol w:w="1480"/>
      </w:tblGrid>
      <w:tr w:rsidR="004D58E7">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1480" w:type="dxa"/>
            <w:tcBorders>
              <w:top w:val="single" w:sz="2" w:space="0" w:color="auto"/>
              <w:left w:val="single" w:sz="2" w:space="0" w:color="auto"/>
              <w:bottom w:val="single" w:sz="2" w:space="0" w:color="auto"/>
              <w:right w:val="single" w:sz="2" w:space="0" w:color="auto"/>
            </w:tcBorders>
            <w:vAlign w:val="center"/>
          </w:tcPr>
          <w:p w:rsidR="004D58E7" w:rsidRDefault="00721935">
            <w:pPr>
              <w:spacing w:line="240" w:lineRule="exact"/>
              <w:rPr>
                <w:rFonts w:ascii="宋体" w:eastAsia="宋体" w:hAnsi="宋体" w:cs="宋体"/>
                <w:sz w:val="18"/>
                <w:szCs w:val="18"/>
              </w:rPr>
            </w:pPr>
            <w:r>
              <w:rPr>
                <w:rFonts w:ascii="宋体" w:eastAsia="宋体" w:hAnsi="宋体" w:cs="宋体"/>
                <w:sz w:val="18"/>
                <w:szCs w:val="18"/>
              </w:rPr>
              <w:t>甘化科工</w:t>
            </w:r>
          </w:p>
        </w:tc>
        <w:tc>
          <w:tcPr>
            <w:tcW w:w="148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1480" w:type="dxa"/>
            <w:tcBorders>
              <w:top w:val="single" w:sz="2" w:space="0" w:color="auto"/>
              <w:left w:val="single" w:sz="2" w:space="0" w:color="auto"/>
              <w:bottom w:val="single" w:sz="2" w:space="0" w:color="auto"/>
              <w:right w:val="single" w:sz="2" w:space="0" w:color="auto"/>
            </w:tcBorders>
            <w:vAlign w:val="center"/>
          </w:tcPr>
          <w:p w:rsidR="004D58E7" w:rsidRDefault="00721935">
            <w:pPr>
              <w:spacing w:line="240" w:lineRule="exact"/>
              <w:rPr>
                <w:rFonts w:ascii="宋体" w:eastAsia="宋体" w:hAnsi="宋体" w:cs="宋体"/>
                <w:sz w:val="18"/>
                <w:szCs w:val="18"/>
              </w:rPr>
            </w:pPr>
            <w:r>
              <w:rPr>
                <w:rFonts w:ascii="宋体" w:eastAsia="宋体" w:hAnsi="宋体" w:cs="宋体"/>
                <w:sz w:val="18"/>
                <w:szCs w:val="18"/>
              </w:rPr>
              <w:t>000576</w:t>
            </w:r>
          </w:p>
        </w:tc>
      </w:tr>
      <w:tr w:rsidR="004D58E7">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pPr>
              <w:spacing w:before="40" w:after="40" w:line="240" w:lineRule="exact"/>
              <w:rPr>
                <w:rFonts w:ascii="宋体" w:eastAsia="宋体" w:hAnsi="宋体" w:cs="宋体"/>
                <w:sz w:val="18"/>
                <w:szCs w:val="18"/>
              </w:rPr>
            </w:pPr>
            <w:r>
              <w:rPr>
                <w:rFonts w:ascii="宋体" w:eastAsia="宋体" w:hAnsi="宋体" w:cs="宋体"/>
                <w:sz w:val="18"/>
                <w:szCs w:val="18"/>
              </w:rPr>
              <w:t>股票上市交易所</w:t>
            </w:r>
          </w:p>
        </w:tc>
        <w:tc>
          <w:tcPr>
            <w:tcW w:w="4439" w:type="dxa"/>
            <w:gridSpan w:val="4"/>
            <w:tcBorders>
              <w:top w:val="single" w:sz="2" w:space="0" w:color="auto"/>
              <w:left w:val="single" w:sz="2" w:space="0" w:color="auto"/>
              <w:bottom w:val="single" w:sz="2" w:space="0" w:color="auto"/>
              <w:right w:val="single" w:sz="2" w:space="0" w:color="auto"/>
            </w:tcBorders>
            <w:vAlign w:val="center"/>
          </w:tcPr>
          <w:p w:rsidR="004D58E7" w:rsidRDefault="00721935">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4D58E7">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pPr>
              <w:spacing w:before="40" w:after="40" w:line="240" w:lineRule="exact"/>
              <w:jc w:val="center"/>
              <w:rPr>
                <w:rFonts w:ascii="宋体" w:eastAsia="宋体" w:hAnsi="宋体" w:cs="宋体"/>
                <w:sz w:val="18"/>
                <w:szCs w:val="18"/>
              </w:rPr>
            </w:pPr>
            <w:r>
              <w:rPr>
                <w:rFonts w:ascii="宋体" w:eastAsia="宋体" w:hAnsi="宋体" w:cs="宋体"/>
                <w:sz w:val="18"/>
                <w:szCs w:val="18"/>
              </w:rPr>
              <w:t>联系人和联系方式</w:t>
            </w:r>
          </w:p>
        </w:tc>
        <w:tc>
          <w:tcPr>
            <w:tcW w:w="22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c>
          <w:tcPr>
            <w:tcW w:w="22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pPr>
              <w:spacing w:before="40" w:after="40" w:line="240" w:lineRule="exact"/>
              <w:jc w:val="center"/>
              <w:rPr>
                <w:rFonts w:ascii="宋体" w:eastAsia="宋体" w:hAnsi="宋体" w:cs="宋体"/>
                <w:sz w:val="18"/>
                <w:szCs w:val="18"/>
              </w:rPr>
            </w:pPr>
            <w:r>
              <w:rPr>
                <w:rFonts w:ascii="宋体" w:eastAsia="宋体" w:hAnsi="宋体" w:cs="宋体"/>
                <w:sz w:val="18"/>
                <w:szCs w:val="18"/>
              </w:rPr>
              <w:t>证券事务代表</w:t>
            </w:r>
          </w:p>
        </w:tc>
      </w:tr>
      <w:tr w:rsidR="004D58E7">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pPr>
              <w:spacing w:line="240" w:lineRule="exact"/>
              <w:rPr>
                <w:rFonts w:ascii="宋体" w:eastAsia="宋体" w:hAnsi="宋体" w:cs="宋体"/>
                <w:sz w:val="18"/>
                <w:szCs w:val="18"/>
              </w:rPr>
            </w:pPr>
            <w:r>
              <w:rPr>
                <w:rFonts w:ascii="宋体" w:eastAsia="宋体" w:hAnsi="宋体" w:cs="宋体"/>
                <w:sz w:val="18"/>
                <w:szCs w:val="18"/>
              </w:rPr>
              <w:t>陈波</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pPr>
              <w:spacing w:line="240" w:lineRule="exact"/>
              <w:rPr>
                <w:rFonts w:ascii="宋体" w:eastAsia="宋体" w:hAnsi="宋体" w:cs="宋体"/>
                <w:sz w:val="18"/>
                <w:szCs w:val="18"/>
              </w:rPr>
            </w:pPr>
            <w:r>
              <w:rPr>
                <w:rFonts w:ascii="宋体" w:eastAsia="宋体" w:hAnsi="宋体" w:cs="宋体"/>
                <w:sz w:val="18"/>
                <w:szCs w:val="18"/>
              </w:rPr>
              <w:t>龚健鹏</w:t>
            </w:r>
          </w:p>
        </w:tc>
      </w:tr>
      <w:tr w:rsidR="004D58E7">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pPr>
              <w:spacing w:before="40" w:after="40" w:line="240" w:lineRule="exact"/>
              <w:rPr>
                <w:rFonts w:ascii="宋体" w:eastAsia="宋体" w:hAnsi="宋体" w:cs="宋体"/>
                <w:sz w:val="18"/>
                <w:szCs w:val="18"/>
              </w:rPr>
            </w:pPr>
            <w:r>
              <w:rPr>
                <w:rFonts w:ascii="宋体" w:eastAsia="宋体" w:hAnsi="宋体" w:cs="宋体"/>
                <w:sz w:val="18"/>
                <w:szCs w:val="18"/>
              </w:rPr>
              <w:t>办公地址</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pPr>
              <w:spacing w:line="240" w:lineRule="exact"/>
              <w:rPr>
                <w:rFonts w:ascii="宋体" w:eastAsia="宋体" w:hAnsi="宋体" w:cs="宋体"/>
                <w:sz w:val="18"/>
                <w:szCs w:val="18"/>
              </w:rPr>
            </w:pPr>
            <w:r>
              <w:rPr>
                <w:rFonts w:ascii="宋体" w:eastAsia="宋体" w:hAnsi="宋体" w:cs="宋体"/>
                <w:sz w:val="18"/>
                <w:szCs w:val="18"/>
              </w:rPr>
              <w:t>广东省江门市甘化路62号</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pPr>
              <w:spacing w:line="240" w:lineRule="exact"/>
              <w:rPr>
                <w:rFonts w:ascii="宋体" w:eastAsia="宋体" w:hAnsi="宋体" w:cs="宋体"/>
                <w:sz w:val="18"/>
                <w:szCs w:val="18"/>
              </w:rPr>
            </w:pPr>
            <w:r>
              <w:rPr>
                <w:rFonts w:ascii="宋体" w:eastAsia="宋体" w:hAnsi="宋体" w:cs="宋体"/>
                <w:sz w:val="18"/>
                <w:szCs w:val="18"/>
              </w:rPr>
              <w:t>广东省江门市甘化路62号</w:t>
            </w:r>
          </w:p>
        </w:tc>
      </w:tr>
      <w:tr w:rsidR="004D58E7">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pPr>
              <w:spacing w:before="40" w:after="40" w:line="240" w:lineRule="exact"/>
              <w:rPr>
                <w:rFonts w:ascii="宋体" w:eastAsia="宋体" w:hAnsi="宋体" w:cs="宋体"/>
                <w:sz w:val="18"/>
                <w:szCs w:val="18"/>
              </w:rPr>
            </w:pPr>
            <w:r>
              <w:rPr>
                <w:rFonts w:ascii="宋体" w:eastAsia="宋体" w:hAnsi="宋体" w:cs="宋体"/>
                <w:sz w:val="18"/>
                <w:szCs w:val="18"/>
              </w:rPr>
              <w:t>传真</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pPr>
              <w:spacing w:line="240" w:lineRule="exact"/>
              <w:rPr>
                <w:rFonts w:ascii="宋体" w:eastAsia="宋体" w:hAnsi="宋体" w:cs="宋体"/>
                <w:sz w:val="18"/>
                <w:szCs w:val="18"/>
              </w:rPr>
            </w:pPr>
            <w:r>
              <w:rPr>
                <w:rFonts w:ascii="宋体" w:eastAsia="宋体" w:hAnsi="宋体" w:cs="宋体"/>
                <w:sz w:val="18"/>
                <w:szCs w:val="18"/>
              </w:rPr>
              <w:t>（0750）3277666</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pPr>
              <w:spacing w:line="240" w:lineRule="exact"/>
              <w:rPr>
                <w:rFonts w:ascii="宋体" w:eastAsia="宋体" w:hAnsi="宋体" w:cs="宋体"/>
                <w:sz w:val="18"/>
                <w:szCs w:val="18"/>
              </w:rPr>
            </w:pPr>
            <w:r>
              <w:rPr>
                <w:rFonts w:ascii="宋体" w:eastAsia="宋体" w:hAnsi="宋体" w:cs="宋体"/>
                <w:sz w:val="18"/>
                <w:szCs w:val="18"/>
              </w:rPr>
              <w:t>（0750）3277666</w:t>
            </w:r>
          </w:p>
        </w:tc>
      </w:tr>
      <w:tr w:rsidR="004D58E7">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pPr>
              <w:spacing w:line="240" w:lineRule="exact"/>
              <w:rPr>
                <w:rFonts w:ascii="宋体" w:eastAsia="宋体" w:hAnsi="宋体" w:cs="宋体"/>
                <w:sz w:val="18"/>
                <w:szCs w:val="18"/>
              </w:rPr>
            </w:pPr>
            <w:r>
              <w:rPr>
                <w:rFonts w:ascii="宋体" w:eastAsia="宋体" w:hAnsi="宋体" w:cs="宋体"/>
                <w:sz w:val="18"/>
                <w:szCs w:val="18"/>
              </w:rPr>
              <w:t>（0750）3277650、3277651</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pPr>
              <w:spacing w:line="240" w:lineRule="exact"/>
              <w:rPr>
                <w:rFonts w:ascii="宋体" w:eastAsia="宋体" w:hAnsi="宋体" w:cs="宋体"/>
                <w:sz w:val="18"/>
                <w:szCs w:val="18"/>
              </w:rPr>
            </w:pPr>
            <w:r>
              <w:rPr>
                <w:rFonts w:ascii="宋体" w:eastAsia="宋体" w:hAnsi="宋体" w:cs="宋体"/>
                <w:sz w:val="18"/>
                <w:szCs w:val="18"/>
              </w:rPr>
              <w:t>（0750）3277651、3277650</w:t>
            </w:r>
          </w:p>
        </w:tc>
      </w:tr>
      <w:tr w:rsidR="004D58E7">
        <w:trPr>
          <w:trHeight w:val="240"/>
        </w:trPr>
        <w:tc>
          <w:tcPr>
            <w:tcW w:w="5200"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pPr>
              <w:spacing w:line="240" w:lineRule="exact"/>
              <w:rPr>
                <w:rFonts w:ascii="宋体" w:eastAsia="宋体" w:hAnsi="宋体" w:cs="宋体"/>
                <w:sz w:val="18"/>
                <w:szCs w:val="18"/>
              </w:rPr>
            </w:pPr>
            <w:r>
              <w:rPr>
                <w:rFonts w:ascii="宋体" w:eastAsia="宋体" w:hAnsi="宋体" w:cs="宋体"/>
                <w:sz w:val="18"/>
                <w:szCs w:val="18"/>
              </w:rPr>
              <w:t>cb@gdganhua.com</w:t>
            </w:r>
          </w:p>
        </w:tc>
        <w:tc>
          <w:tcPr>
            <w:tcW w:w="2220"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pPr>
              <w:spacing w:line="240" w:lineRule="exact"/>
              <w:rPr>
                <w:rFonts w:ascii="宋体" w:eastAsia="宋体" w:hAnsi="宋体" w:cs="宋体"/>
                <w:sz w:val="18"/>
                <w:szCs w:val="18"/>
              </w:rPr>
            </w:pPr>
            <w:r>
              <w:rPr>
                <w:rFonts w:ascii="宋体" w:eastAsia="宋体" w:hAnsi="宋体" w:cs="宋体"/>
                <w:sz w:val="18"/>
                <w:szCs w:val="18"/>
              </w:rPr>
              <w:t>gjp@gdganhua.com</w:t>
            </w:r>
          </w:p>
        </w:tc>
      </w:tr>
    </w:tbl>
    <w:p w:rsidR="004D58E7" w:rsidRDefault="00721935">
      <w:pPr>
        <w:pStyle w:val="3"/>
        <w:spacing w:line="280" w:lineRule="exact"/>
        <w:jc w:val="left"/>
        <w:rPr>
          <w:rFonts w:ascii="宋体" w:hAnsi="宋体" w:cs="宋体"/>
          <w:b/>
          <w:bCs/>
        </w:rPr>
      </w:pPr>
      <w:bookmarkStart w:id="3" w:name="_Toc988892"/>
      <w:r>
        <w:rPr>
          <w:rFonts w:ascii="宋体" w:hAnsi="宋体" w:cs="宋体"/>
          <w:b/>
          <w:bCs/>
        </w:rPr>
        <w:t>2、报告期主要业务或产品简介</w:t>
      </w:r>
      <w:bookmarkEnd w:id="3"/>
    </w:p>
    <w:p w:rsidR="005E32AD" w:rsidRDefault="00721935">
      <w:pPr>
        <w:pStyle w:val="a3"/>
        <w:spacing w:before="0" w:beforeAutospacing="0" w:after="0" w:afterAutospacing="0" w:line="360" w:lineRule="auto"/>
        <w:ind w:firstLine="561"/>
        <w:jc w:val="both"/>
        <w:divId w:val="1793278519"/>
      </w:pPr>
      <w:r>
        <w:rPr>
          <w:rFonts w:hint="eastAsia"/>
          <w:sz w:val="21"/>
          <w:szCs w:val="21"/>
        </w:rPr>
        <w:t>公司主营业务为电源及相关产品、高性能特种合金材料制品等军工产品的研发、生产、销售。</w:t>
      </w:r>
    </w:p>
    <w:p w:rsidR="005E32AD" w:rsidRDefault="0058011F">
      <w:pPr>
        <w:pStyle w:val="a3"/>
        <w:shd w:val="clear" w:color="auto" w:fill="FFFFFF"/>
        <w:spacing w:before="0" w:beforeAutospacing="0" w:after="0" w:afterAutospacing="0" w:line="360" w:lineRule="auto"/>
        <w:ind w:firstLine="562"/>
        <w:jc w:val="both"/>
        <w:divId w:val="1793278519"/>
      </w:pPr>
      <w:r>
        <w:rPr>
          <w:rStyle w:val="a4"/>
          <w:rFonts w:hint="eastAsia"/>
          <w:sz w:val="21"/>
          <w:szCs w:val="21"/>
        </w:rPr>
        <w:lastRenderedPageBreak/>
        <w:t>（1）</w:t>
      </w:r>
      <w:r w:rsidR="00721935">
        <w:rPr>
          <w:rStyle w:val="a4"/>
          <w:rFonts w:hint="eastAsia"/>
          <w:sz w:val="21"/>
          <w:szCs w:val="21"/>
        </w:rPr>
        <w:t>电源及相关产品业务</w:t>
      </w:r>
    </w:p>
    <w:p w:rsidR="005E32AD" w:rsidRDefault="00721935">
      <w:pPr>
        <w:pStyle w:val="a3"/>
        <w:shd w:val="clear" w:color="auto" w:fill="FFFFFF"/>
        <w:spacing w:before="0" w:beforeAutospacing="0" w:after="0" w:afterAutospacing="0" w:line="360" w:lineRule="auto"/>
        <w:ind w:firstLine="560"/>
        <w:jc w:val="both"/>
        <w:divId w:val="1793278519"/>
      </w:pPr>
      <w:r>
        <w:rPr>
          <w:rFonts w:hint="eastAsia"/>
          <w:sz w:val="21"/>
          <w:szCs w:val="21"/>
        </w:rPr>
        <w:t>公司电源及相关产品业务由全资子公司升华电源和四川甘华承担。</w:t>
      </w:r>
    </w:p>
    <w:p w:rsidR="005E32AD" w:rsidRDefault="0058011F">
      <w:pPr>
        <w:pStyle w:val="a3"/>
        <w:spacing w:before="0" w:beforeAutospacing="0" w:after="0" w:afterAutospacing="0" w:line="360" w:lineRule="auto"/>
        <w:ind w:firstLine="560"/>
        <w:jc w:val="both"/>
        <w:divId w:val="1793278519"/>
      </w:pPr>
      <w:r>
        <w:rPr>
          <w:rFonts w:hint="eastAsia"/>
          <w:sz w:val="21"/>
          <w:szCs w:val="21"/>
        </w:rPr>
        <w:t>①</w:t>
      </w:r>
      <w:r w:rsidR="00721935">
        <w:rPr>
          <w:rFonts w:hint="eastAsia"/>
          <w:sz w:val="21"/>
          <w:szCs w:val="21"/>
        </w:rPr>
        <w:t>升华电源专业从事高效率、高可靠性、高功率密度电源产品的开发设计、生产、销售与服务，已经建成了可靠性高、质量稳定、技术先进、应用范围广泛、规格品种齐全的电源产品线，致力于为客户提供可靠优质的电源全面解决方案。升华电源生产的电源属于“电源变换器”，不同于物理或化学电源（如干电池等），其本身并不产生电能，而是完成不同制式电能间的转换。当电子设备对于电压及电流提出各种各样的特殊要求而供电环境不能满足其多样化需求时，需要通过电源变换器把可获取的电能制式转换为电子设备需要的制式。升华电源以模块电源系统和定制电源系统这两大类产品，服务于机载、舰载、弹载等多种武器平台，主要客户涵盖国内知名军工企业、军工科研院所、军工厂等。</w:t>
      </w:r>
    </w:p>
    <w:p w:rsidR="005E32AD" w:rsidRDefault="00721935">
      <w:pPr>
        <w:pStyle w:val="a3"/>
        <w:spacing w:before="0" w:beforeAutospacing="0" w:after="0" w:afterAutospacing="0" w:line="360" w:lineRule="auto"/>
        <w:ind w:firstLine="560"/>
        <w:jc w:val="both"/>
        <w:divId w:val="1793278519"/>
      </w:pPr>
      <w:r>
        <w:rPr>
          <w:rFonts w:hint="eastAsia"/>
          <w:sz w:val="21"/>
          <w:szCs w:val="21"/>
        </w:rPr>
        <w:t>升华电源的主要产品包括模块电源和定制电源系统两大类：</w:t>
      </w:r>
    </w:p>
    <w:p w:rsidR="005E32AD" w:rsidRDefault="00721935">
      <w:pPr>
        <w:pStyle w:val="a3"/>
        <w:spacing w:before="0" w:beforeAutospacing="0" w:after="0" w:afterAutospacing="0" w:line="360" w:lineRule="auto"/>
        <w:ind w:firstLine="560"/>
        <w:jc w:val="both"/>
        <w:divId w:val="1793278519"/>
      </w:pPr>
      <w:r>
        <w:rPr>
          <w:rFonts w:hint="eastAsia"/>
          <w:sz w:val="21"/>
          <w:szCs w:val="21"/>
        </w:rPr>
        <w:t>模块电源采用先进的电路和结构设计，利用先进的工艺和封装技术制造，形成一个结构紧凑、效率高、体积小、高可靠性的电子稳压电源，是可以直接安装（主要为焊接）在印刷电路板上的电源变换器。模块电源是一个高度集成化的电源产品，强调封装标准化，产品具有小、薄、轻的特点。</w:t>
      </w:r>
    </w:p>
    <w:p w:rsidR="005E32AD" w:rsidRDefault="00721935">
      <w:pPr>
        <w:pStyle w:val="a3"/>
        <w:spacing w:before="0" w:beforeAutospacing="0" w:after="0" w:afterAutospacing="0" w:line="360" w:lineRule="auto"/>
        <w:ind w:firstLine="560"/>
        <w:jc w:val="both"/>
        <w:divId w:val="1793278519"/>
      </w:pPr>
      <w:r>
        <w:rPr>
          <w:rFonts w:hint="eastAsia"/>
          <w:sz w:val="21"/>
          <w:szCs w:val="21"/>
        </w:rPr>
        <w:t>定制电源是指按照特定客户需求的性能规格要求、结构要求等专门设计和制造的电源。与模块电源相比，定制电源的设计和制作工艺多样，是根据客户所处应用领域的特殊要求而设计制造的定制产品，具有符合客户要求的非标准外观，可以通过模块电源组合、模块电源与其他元器件搭配、或者用分立元器件全新设计来实现客户的定制要求。</w:t>
      </w:r>
    </w:p>
    <w:p w:rsidR="005E32AD" w:rsidRDefault="0058011F">
      <w:pPr>
        <w:pStyle w:val="a3"/>
        <w:spacing w:before="0" w:beforeAutospacing="0" w:after="0" w:afterAutospacing="0" w:line="360" w:lineRule="auto"/>
        <w:ind w:firstLine="560"/>
        <w:jc w:val="both"/>
        <w:divId w:val="1793278519"/>
      </w:pPr>
      <w:r>
        <w:rPr>
          <w:rFonts w:hint="eastAsia"/>
          <w:sz w:val="21"/>
          <w:szCs w:val="21"/>
        </w:rPr>
        <w:t>②</w:t>
      </w:r>
      <w:r w:rsidR="00721935">
        <w:rPr>
          <w:rFonts w:hint="eastAsia"/>
          <w:sz w:val="21"/>
          <w:szCs w:val="21"/>
        </w:rPr>
        <w:t xml:space="preserve">四川甘华目前致力于民用航空电源相关产品及前瞻电源技术的研发、推广及应用。 </w:t>
      </w:r>
    </w:p>
    <w:p w:rsidR="005E32AD" w:rsidRDefault="0058011F">
      <w:pPr>
        <w:pStyle w:val="a3"/>
        <w:shd w:val="clear" w:color="auto" w:fill="FFFFFF"/>
        <w:spacing w:before="0" w:beforeAutospacing="0" w:after="0" w:afterAutospacing="0" w:line="360" w:lineRule="auto"/>
        <w:ind w:firstLine="562"/>
        <w:jc w:val="both"/>
        <w:divId w:val="1793278519"/>
      </w:pPr>
      <w:r>
        <w:rPr>
          <w:rStyle w:val="a4"/>
          <w:rFonts w:hint="eastAsia"/>
          <w:sz w:val="21"/>
          <w:szCs w:val="21"/>
        </w:rPr>
        <w:t>（2）</w:t>
      </w:r>
      <w:r w:rsidR="00721935">
        <w:rPr>
          <w:rStyle w:val="a4"/>
          <w:rFonts w:hint="eastAsia"/>
          <w:sz w:val="21"/>
          <w:szCs w:val="21"/>
        </w:rPr>
        <w:t>高性能特种合金材料制品业务</w:t>
      </w:r>
    </w:p>
    <w:p w:rsidR="005E32AD" w:rsidRDefault="00721935">
      <w:pPr>
        <w:pStyle w:val="a3"/>
        <w:shd w:val="clear" w:color="auto" w:fill="FFFFFF"/>
        <w:spacing w:before="0" w:beforeAutospacing="0" w:after="0" w:afterAutospacing="0" w:line="360" w:lineRule="auto"/>
        <w:ind w:firstLine="560"/>
        <w:jc w:val="both"/>
        <w:divId w:val="1793278519"/>
      </w:pPr>
      <w:r>
        <w:rPr>
          <w:rFonts w:hint="eastAsia"/>
          <w:sz w:val="21"/>
          <w:szCs w:val="21"/>
        </w:rPr>
        <w:t>公司高性能特种合金材料制品业务由控股子公司沈阳含能和沈阳非晶承担。</w:t>
      </w:r>
    </w:p>
    <w:p w:rsidR="005E32AD" w:rsidRDefault="00987E03">
      <w:pPr>
        <w:pStyle w:val="a3"/>
        <w:shd w:val="clear" w:color="auto" w:fill="FFFFFF"/>
        <w:spacing w:before="0" w:beforeAutospacing="0" w:after="0" w:afterAutospacing="0" w:line="360" w:lineRule="auto"/>
        <w:ind w:firstLine="560"/>
        <w:jc w:val="both"/>
        <w:divId w:val="1793278519"/>
      </w:pPr>
      <w:r>
        <w:rPr>
          <w:rFonts w:hint="eastAsia"/>
          <w:sz w:val="21"/>
          <w:szCs w:val="21"/>
        </w:rPr>
        <w:t>①</w:t>
      </w:r>
      <w:r w:rsidR="00721935">
        <w:rPr>
          <w:rFonts w:hint="eastAsia"/>
          <w:sz w:val="21"/>
          <w:szCs w:val="21"/>
        </w:rPr>
        <w:t>沈阳含能主要通过承接军工总体单位及军工科研院所科研项目，加工各类军品零部件</w:t>
      </w:r>
      <w:r w:rsidR="00721935">
        <w:rPr>
          <w:rFonts w:hint="eastAsia"/>
          <w:color w:val="000000"/>
          <w:sz w:val="21"/>
          <w:szCs w:val="21"/>
        </w:rPr>
        <w:t>及生产民品。</w:t>
      </w:r>
      <w:r w:rsidR="00721935">
        <w:rPr>
          <w:rFonts w:hint="eastAsia"/>
          <w:sz w:val="21"/>
          <w:szCs w:val="21"/>
        </w:rPr>
        <w:t>主要产品中：钨球、钨环、钨柱类预制破片的特性为高密度、抗拉强度大、弹性模量高、热膨胀系数低等，主要用于弹用毁伤部件，为海、陆、空、火箭、战略支援等多部队装备的炮弹、火箭弹及导弹产品进行配套，产品性能良好，获得军方认可，已与多家兵工厂建立了良好的合作关系，是部分常规炮弹及新型火箭弹预制破片的主要供应商。公司民品主要应用于体育行业。</w:t>
      </w:r>
    </w:p>
    <w:p w:rsidR="005E32AD" w:rsidRDefault="00987E03">
      <w:pPr>
        <w:pStyle w:val="a3"/>
        <w:shd w:val="clear" w:color="auto" w:fill="FFFFFF"/>
        <w:spacing w:before="0" w:beforeAutospacing="0" w:after="0" w:afterAutospacing="0" w:line="360" w:lineRule="auto"/>
        <w:ind w:firstLine="560"/>
        <w:jc w:val="both"/>
        <w:divId w:val="1793278519"/>
      </w:pPr>
      <w:r>
        <w:rPr>
          <w:rFonts w:hint="eastAsia"/>
          <w:sz w:val="21"/>
          <w:szCs w:val="21"/>
        </w:rPr>
        <w:t>②</w:t>
      </w:r>
      <w:r w:rsidR="00721935">
        <w:rPr>
          <w:rFonts w:hint="eastAsia"/>
          <w:sz w:val="21"/>
          <w:szCs w:val="21"/>
        </w:rPr>
        <w:t>沈阳非晶主要从事非晶合金材料研发、制造、销售等业务，核心产品为非晶合金复合体。非晶合金材料是一类先进活性材料，具有高强度、高硬度的特点，在国防领域，对装备设计、打击能力具有颠覆性作用，产品主要应用于国防、航空航天、石油化工等领域。公司与国内重点装备配套企业、科研院所及高等院校深化战略合作，部分型号产品已突破原理验证和实现小批量制备技术，完成了装备的试验考核，并在多个研制任务中获得应用。</w:t>
      </w:r>
    </w:p>
    <w:p w:rsidR="004D58E7" w:rsidRDefault="00721935">
      <w:pPr>
        <w:pStyle w:val="3"/>
        <w:spacing w:line="280" w:lineRule="exact"/>
        <w:jc w:val="left"/>
        <w:rPr>
          <w:rFonts w:ascii="宋体" w:hAnsi="宋体" w:cs="宋体"/>
          <w:b/>
          <w:bCs/>
        </w:rPr>
      </w:pPr>
      <w:bookmarkStart w:id="4" w:name="_Toc988893"/>
      <w:r>
        <w:rPr>
          <w:rFonts w:ascii="宋体" w:hAnsi="宋体" w:cs="宋体"/>
          <w:b/>
          <w:bCs/>
        </w:rPr>
        <w:lastRenderedPageBreak/>
        <w:t>3、主要会计数据和财务指标</w:t>
      </w:r>
      <w:bookmarkEnd w:id="4"/>
    </w:p>
    <w:p w:rsidR="004D58E7" w:rsidRDefault="00721935">
      <w:pPr>
        <w:keepNext/>
        <w:keepLines/>
        <w:spacing w:before="300" w:after="300" w:line="280" w:lineRule="exact"/>
        <w:outlineLvl w:val="3"/>
        <w:rPr>
          <w:rFonts w:ascii="宋体" w:eastAsia="宋体" w:hAnsi="宋体" w:cs="宋体"/>
          <w:b/>
          <w:bCs/>
          <w:sz w:val="18"/>
          <w:szCs w:val="18"/>
        </w:rPr>
      </w:pPr>
      <w:bookmarkStart w:id="5" w:name="_Toc988894"/>
      <w:r>
        <w:rPr>
          <w:rFonts w:ascii="宋体" w:eastAsia="宋体" w:hAnsi="宋体" w:cs="宋体"/>
          <w:b/>
          <w:bCs/>
          <w:sz w:val="18"/>
          <w:szCs w:val="18"/>
        </w:rPr>
        <w:t>（1） 近三年主要会计数据和财务指标</w:t>
      </w:r>
      <w:bookmarkEnd w:id="5"/>
    </w:p>
    <w:p w:rsidR="004D58E7" w:rsidRDefault="00721935" w:rsidP="00BC66F2">
      <w:pPr>
        <w:spacing w:line="360" w:lineRule="auto"/>
        <w:rPr>
          <w:rFonts w:ascii="宋体" w:eastAsia="宋体" w:hAnsi="宋体" w:cs="宋体"/>
          <w:sz w:val="18"/>
          <w:szCs w:val="18"/>
        </w:rPr>
      </w:pPr>
      <w:r>
        <w:rPr>
          <w:rFonts w:ascii="宋体" w:eastAsia="宋体" w:hAnsi="宋体" w:cs="宋体"/>
          <w:sz w:val="18"/>
          <w:szCs w:val="18"/>
        </w:rPr>
        <w:t>公司是否需追溯调整或重述以前年度会计数据</w:t>
      </w:r>
    </w:p>
    <w:p w:rsidR="004D58E7" w:rsidRDefault="00721935" w:rsidP="00BC66F2">
      <w:pPr>
        <w:spacing w:line="360" w:lineRule="auto"/>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4D58E7" w:rsidRDefault="0072193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127"/>
        <w:gridCol w:w="1842"/>
        <w:gridCol w:w="1814"/>
        <w:gridCol w:w="1928"/>
        <w:gridCol w:w="1928"/>
      </w:tblGrid>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4D58E7" w:rsidP="009D31FB">
            <w:pPr>
              <w:spacing w:line="300" w:lineRule="exact"/>
            </w:pP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2024年末</w:t>
            </w:r>
          </w:p>
        </w:tc>
        <w:tc>
          <w:tcPr>
            <w:tcW w:w="1814"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2023年末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本年末比上年末增减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2022年末</w:t>
            </w:r>
          </w:p>
        </w:tc>
      </w:tr>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rPr>
                <w:rFonts w:ascii="宋体" w:eastAsia="宋体" w:hAnsi="宋体" w:cs="宋体"/>
                <w:sz w:val="18"/>
                <w:szCs w:val="18"/>
              </w:rPr>
            </w:pPr>
            <w:r>
              <w:rPr>
                <w:rFonts w:ascii="宋体" w:eastAsia="宋体" w:hAnsi="宋体" w:cs="宋体"/>
                <w:sz w:val="18"/>
                <w:szCs w:val="18"/>
              </w:rPr>
              <w:t>总资产</w:t>
            </w:r>
          </w:p>
        </w:tc>
        <w:tc>
          <w:tcPr>
            <w:tcW w:w="1842"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1,844,340,893.78</w:t>
            </w:r>
          </w:p>
        </w:tc>
        <w:tc>
          <w:tcPr>
            <w:tcW w:w="181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1,841,724,750.08</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0.14%</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2,015,974,465.89</w:t>
            </w:r>
          </w:p>
        </w:tc>
      </w:tr>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rPr>
                <w:rFonts w:ascii="宋体" w:eastAsia="宋体" w:hAnsi="宋体" w:cs="宋体"/>
                <w:sz w:val="18"/>
                <w:szCs w:val="18"/>
              </w:rPr>
            </w:pPr>
            <w:r>
              <w:rPr>
                <w:rFonts w:ascii="宋体" w:eastAsia="宋体" w:hAnsi="宋体" w:cs="宋体"/>
                <w:sz w:val="18"/>
                <w:szCs w:val="18"/>
              </w:rPr>
              <w:t>归属于上市公司股东的净资产</w:t>
            </w:r>
          </w:p>
        </w:tc>
        <w:tc>
          <w:tcPr>
            <w:tcW w:w="1842"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1,612,340,099.58</w:t>
            </w:r>
          </w:p>
        </w:tc>
        <w:tc>
          <w:tcPr>
            <w:tcW w:w="181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1,609,597,227.59</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0.17%</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1,755,221,750.70</w:t>
            </w:r>
          </w:p>
        </w:tc>
      </w:tr>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4D58E7" w:rsidP="009D31FB">
            <w:pPr>
              <w:spacing w:line="300" w:lineRule="exact"/>
            </w:pP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2024年</w:t>
            </w:r>
          </w:p>
        </w:tc>
        <w:tc>
          <w:tcPr>
            <w:tcW w:w="1814"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2023年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本年比上年增减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2022年</w:t>
            </w:r>
          </w:p>
        </w:tc>
      </w:tr>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rPr>
                <w:rFonts w:ascii="宋体" w:eastAsia="宋体" w:hAnsi="宋体" w:cs="宋体"/>
                <w:sz w:val="18"/>
                <w:szCs w:val="18"/>
              </w:rPr>
            </w:pPr>
            <w:r>
              <w:rPr>
                <w:rFonts w:ascii="宋体" w:eastAsia="宋体" w:hAnsi="宋体" w:cs="宋体"/>
                <w:sz w:val="18"/>
                <w:szCs w:val="18"/>
              </w:rPr>
              <w:t>营业收入</w:t>
            </w:r>
          </w:p>
        </w:tc>
        <w:tc>
          <w:tcPr>
            <w:tcW w:w="1842"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396,288,612.52</w:t>
            </w:r>
          </w:p>
        </w:tc>
        <w:tc>
          <w:tcPr>
            <w:tcW w:w="181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323,277,259.89</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22.58%</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445,381,991.65</w:t>
            </w:r>
          </w:p>
        </w:tc>
      </w:tr>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rPr>
                <w:rFonts w:ascii="宋体" w:eastAsia="宋体" w:hAnsi="宋体" w:cs="宋体"/>
                <w:sz w:val="18"/>
                <w:szCs w:val="18"/>
              </w:rPr>
            </w:pPr>
            <w:r>
              <w:rPr>
                <w:rFonts w:ascii="宋体" w:eastAsia="宋体" w:hAnsi="宋体" w:cs="宋体"/>
                <w:sz w:val="18"/>
                <w:szCs w:val="18"/>
              </w:rPr>
              <w:t>归属于上市公司股东的净利润</w:t>
            </w:r>
          </w:p>
        </w:tc>
        <w:tc>
          <w:tcPr>
            <w:tcW w:w="1842"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20,514,596.04</w:t>
            </w:r>
          </w:p>
        </w:tc>
        <w:tc>
          <w:tcPr>
            <w:tcW w:w="181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-233,068,813.79</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108.80%</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119,160,090.71</w:t>
            </w:r>
          </w:p>
        </w:tc>
      </w:tr>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w:t>
            </w:r>
          </w:p>
        </w:tc>
        <w:tc>
          <w:tcPr>
            <w:tcW w:w="1842"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4,211,289.83</w:t>
            </w:r>
          </w:p>
        </w:tc>
        <w:tc>
          <w:tcPr>
            <w:tcW w:w="181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-252,643,824.01</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101.67%</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98,834,903.21</w:t>
            </w:r>
          </w:p>
        </w:tc>
      </w:tr>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842"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-55,830,185.38</w:t>
            </w:r>
          </w:p>
        </w:tc>
        <w:tc>
          <w:tcPr>
            <w:tcW w:w="181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42,624,132.37</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-230.98%</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-53,066,348.50</w:t>
            </w:r>
          </w:p>
        </w:tc>
      </w:tr>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rPr>
                <w:rFonts w:ascii="宋体" w:eastAsia="宋体" w:hAnsi="宋体" w:cs="宋体"/>
                <w:sz w:val="18"/>
                <w:szCs w:val="18"/>
              </w:rPr>
            </w:pPr>
            <w:r>
              <w:rPr>
                <w:rFonts w:ascii="宋体" w:eastAsia="宋体" w:hAnsi="宋体" w:cs="宋体"/>
                <w:sz w:val="18"/>
                <w:szCs w:val="18"/>
              </w:rPr>
              <w:t>基本每股收益（元/股）</w:t>
            </w:r>
          </w:p>
        </w:tc>
        <w:tc>
          <w:tcPr>
            <w:tcW w:w="1842"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0.05</w:t>
            </w:r>
          </w:p>
        </w:tc>
        <w:tc>
          <w:tcPr>
            <w:tcW w:w="181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-0.53</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109.43%</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0.28</w:t>
            </w:r>
          </w:p>
        </w:tc>
      </w:tr>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rPr>
                <w:rFonts w:ascii="宋体" w:eastAsia="宋体" w:hAnsi="宋体" w:cs="宋体"/>
                <w:sz w:val="18"/>
                <w:szCs w:val="18"/>
              </w:rPr>
            </w:pPr>
            <w:r>
              <w:rPr>
                <w:rFonts w:ascii="宋体" w:eastAsia="宋体" w:hAnsi="宋体" w:cs="宋体"/>
                <w:sz w:val="18"/>
                <w:szCs w:val="18"/>
              </w:rPr>
              <w:t>稀释每股收益（元/股）</w:t>
            </w:r>
          </w:p>
        </w:tc>
        <w:tc>
          <w:tcPr>
            <w:tcW w:w="1842"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0.05</w:t>
            </w:r>
          </w:p>
        </w:tc>
        <w:tc>
          <w:tcPr>
            <w:tcW w:w="181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-0.53</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109.43%</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0.27</w:t>
            </w:r>
          </w:p>
        </w:tc>
      </w:tr>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rPr>
                <w:rFonts w:ascii="宋体" w:eastAsia="宋体" w:hAnsi="宋体" w:cs="宋体"/>
                <w:sz w:val="18"/>
                <w:szCs w:val="18"/>
              </w:rPr>
            </w:pPr>
            <w:r>
              <w:rPr>
                <w:rFonts w:ascii="宋体" w:eastAsia="宋体" w:hAnsi="宋体" w:cs="宋体"/>
                <w:sz w:val="18"/>
                <w:szCs w:val="18"/>
              </w:rPr>
              <w:t>加权平均净资产收益率</w:t>
            </w:r>
          </w:p>
        </w:tc>
        <w:tc>
          <w:tcPr>
            <w:tcW w:w="1842"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1.28%</w:t>
            </w:r>
          </w:p>
        </w:tc>
        <w:tc>
          <w:tcPr>
            <w:tcW w:w="181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-13.64%</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14.92%</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6.99%</w:t>
            </w:r>
          </w:p>
        </w:tc>
      </w:tr>
    </w:tbl>
    <w:p w:rsidR="004D58E7" w:rsidRDefault="00721935">
      <w:pPr>
        <w:keepNext/>
        <w:keepLines/>
        <w:spacing w:before="300" w:after="300" w:line="280" w:lineRule="exact"/>
        <w:outlineLvl w:val="3"/>
        <w:rPr>
          <w:rFonts w:ascii="宋体" w:eastAsia="宋体" w:hAnsi="宋体" w:cs="宋体"/>
          <w:b/>
          <w:bCs/>
          <w:sz w:val="18"/>
          <w:szCs w:val="18"/>
        </w:rPr>
      </w:pPr>
      <w:bookmarkStart w:id="6" w:name="_Toc988895"/>
      <w:r>
        <w:rPr>
          <w:rFonts w:ascii="宋体" w:eastAsia="宋体" w:hAnsi="宋体" w:cs="宋体"/>
          <w:b/>
          <w:bCs/>
          <w:sz w:val="18"/>
          <w:szCs w:val="18"/>
        </w:rPr>
        <w:t>（2） 分季度主要会计数据</w:t>
      </w:r>
      <w:bookmarkEnd w:id="6"/>
    </w:p>
    <w:p w:rsidR="004D58E7" w:rsidRDefault="00721935">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127"/>
        <w:gridCol w:w="1842"/>
        <w:gridCol w:w="1985"/>
        <w:gridCol w:w="1757"/>
        <w:gridCol w:w="1928"/>
      </w:tblGrid>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4D58E7" w:rsidP="009D31FB">
            <w:pPr>
              <w:spacing w:line="300" w:lineRule="atLeast"/>
            </w:pP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atLeast"/>
              <w:jc w:val="center"/>
              <w:rPr>
                <w:rFonts w:ascii="宋体" w:eastAsia="宋体" w:hAnsi="宋体" w:cs="宋体"/>
                <w:sz w:val="18"/>
                <w:szCs w:val="18"/>
              </w:rPr>
            </w:pPr>
            <w:r>
              <w:rPr>
                <w:rFonts w:ascii="宋体" w:eastAsia="宋体" w:hAnsi="宋体" w:cs="宋体"/>
                <w:sz w:val="18"/>
                <w:szCs w:val="18"/>
              </w:rPr>
              <w:t>第一季度</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atLeast"/>
              <w:jc w:val="center"/>
              <w:rPr>
                <w:rFonts w:ascii="宋体" w:eastAsia="宋体" w:hAnsi="宋体" w:cs="宋体"/>
                <w:sz w:val="18"/>
                <w:szCs w:val="18"/>
              </w:rPr>
            </w:pPr>
            <w:r>
              <w:rPr>
                <w:rFonts w:ascii="宋体" w:eastAsia="宋体" w:hAnsi="宋体" w:cs="宋体"/>
                <w:sz w:val="18"/>
                <w:szCs w:val="18"/>
              </w:rPr>
              <w:t>第二季度</w:t>
            </w:r>
          </w:p>
        </w:tc>
        <w:tc>
          <w:tcPr>
            <w:tcW w:w="175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atLeast"/>
              <w:jc w:val="center"/>
              <w:rPr>
                <w:rFonts w:ascii="宋体" w:eastAsia="宋体" w:hAnsi="宋体" w:cs="宋体"/>
                <w:sz w:val="18"/>
                <w:szCs w:val="18"/>
              </w:rPr>
            </w:pPr>
            <w:r>
              <w:rPr>
                <w:rFonts w:ascii="宋体" w:eastAsia="宋体" w:hAnsi="宋体" w:cs="宋体"/>
                <w:sz w:val="18"/>
                <w:szCs w:val="18"/>
              </w:rPr>
              <w:t>第三季度</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atLeast"/>
              <w:jc w:val="center"/>
              <w:rPr>
                <w:rFonts w:ascii="宋体" w:eastAsia="宋体" w:hAnsi="宋体" w:cs="宋体"/>
                <w:sz w:val="18"/>
                <w:szCs w:val="18"/>
              </w:rPr>
            </w:pPr>
            <w:r>
              <w:rPr>
                <w:rFonts w:ascii="宋体" w:eastAsia="宋体" w:hAnsi="宋体" w:cs="宋体"/>
                <w:sz w:val="18"/>
                <w:szCs w:val="18"/>
              </w:rPr>
              <w:t>第四季度</w:t>
            </w:r>
          </w:p>
        </w:tc>
      </w:tr>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atLeast"/>
              <w:rPr>
                <w:rFonts w:ascii="宋体" w:eastAsia="宋体" w:hAnsi="宋体" w:cs="宋体"/>
                <w:sz w:val="18"/>
                <w:szCs w:val="18"/>
              </w:rPr>
            </w:pPr>
            <w:r>
              <w:rPr>
                <w:rFonts w:ascii="宋体" w:eastAsia="宋体" w:hAnsi="宋体" w:cs="宋体"/>
                <w:sz w:val="18"/>
                <w:szCs w:val="18"/>
              </w:rPr>
              <w:t>营业收入</w:t>
            </w:r>
          </w:p>
        </w:tc>
        <w:tc>
          <w:tcPr>
            <w:tcW w:w="1842"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atLeast"/>
              <w:jc w:val="right"/>
              <w:rPr>
                <w:rFonts w:ascii="宋体" w:eastAsia="宋体" w:hAnsi="宋体" w:cs="宋体"/>
                <w:sz w:val="18"/>
                <w:szCs w:val="18"/>
              </w:rPr>
            </w:pPr>
            <w:r>
              <w:rPr>
                <w:rFonts w:ascii="宋体" w:eastAsia="宋体" w:hAnsi="宋体" w:cs="宋体"/>
                <w:sz w:val="18"/>
                <w:szCs w:val="18"/>
              </w:rPr>
              <w:t>77,848,729.29</w:t>
            </w:r>
          </w:p>
        </w:tc>
        <w:tc>
          <w:tcPr>
            <w:tcW w:w="1985"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atLeast"/>
              <w:jc w:val="right"/>
              <w:rPr>
                <w:rFonts w:ascii="宋体" w:eastAsia="宋体" w:hAnsi="宋体" w:cs="宋体"/>
                <w:sz w:val="18"/>
                <w:szCs w:val="18"/>
              </w:rPr>
            </w:pPr>
            <w:r>
              <w:rPr>
                <w:rFonts w:ascii="宋体" w:eastAsia="宋体" w:hAnsi="宋体" w:cs="宋体"/>
                <w:sz w:val="18"/>
                <w:szCs w:val="18"/>
              </w:rPr>
              <w:t>121,244,981.43</w:t>
            </w:r>
          </w:p>
        </w:tc>
        <w:tc>
          <w:tcPr>
            <w:tcW w:w="1757"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atLeast"/>
              <w:jc w:val="right"/>
              <w:rPr>
                <w:rFonts w:ascii="宋体" w:eastAsia="宋体" w:hAnsi="宋体" w:cs="宋体"/>
                <w:sz w:val="18"/>
                <w:szCs w:val="18"/>
              </w:rPr>
            </w:pPr>
            <w:r>
              <w:rPr>
                <w:rFonts w:ascii="宋体" w:eastAsia="宋体" w:hAnsi="宋体" w:cs="宋体"/>
                <w:sz w:val="18"/>
                <w:szCs w:val="18"/>
              </w:rPr>
              <w:t>79,286,932.25</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atLeast"/>
              <w:jc w:val="right"/>
              <w:rPr>
                <w:rFonts w:ascii="宋体" w:eastAsia="宋体" w:hAnsi="宋体" w:cs="宋体"/>
                <w:sz w:val="18"/>
                <w:szCs w:val="18"/>
              </w:rPr>
            </w:pPr>
            <w:r>
              <w:rPr>
                <w:rFonts w:ascii="宋体" w:eastAsia="宋体" w:hAnsi="宋体" w:cs="宋体"/>
                <w:sz w:val="18"/>
                <w:szCs w:val="18"/>
              </w:rPr>
              <w:t>117,907,969.55</w:t>
            </w:r>
          </w:p>
        </w:tc>
      </w:tr>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atLeast"/>
              <w:rPr>
                <w:rFonts w:ascii="宋体" w:eastAsia="宋体" w:hAnsi="宋体" w:cs="宋体"/>
                <w:sz w:val="18"/>
                <w:szCs w:val="18"/>
              </w:rPr>
            </w:pPr>
            <w:r>
              <w:rPr>
                <w:rFonts w:ascii="宋体" w:eastAsia="宋体" w:hAnsi="宋体" w:cs="宋体"/>
                <w:sz w:val="18"/>
                <w:szCs w:val="18"/>
              </w:rPr>
              <w:t>归属于上市公司股东的净利润</w:t>
            </w:r>
          </w:p>
        </w:tc>
        <w:tc>
          <w:tcPr>
            <w:tcW w:w="1842"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atLeast"/>
              <w:jc w:val="right"/>
              <w:rPr>
                <w:rFonts w:ascii="宋体" w:eastAsia="宋体" w:hAnsi="宋体" w:cs="宋体"/>
                <w:sz w:val="18"/>
                <w:szCs w:val="18"/>
              </w:rPr>
            </w:pPr>
            <w:r>
              <w:rPr>
                <w:rFonts w:ascii="宋体" w:eastAsia="宋体" w:hAnsi="宋体" w:cs="宋体"/>
                <w:sz w:val="18"/>
                <w:szCs w:val="18"/>
              </w:rPr>
              <w:t>13,820,019.32</w:t>
            </w:r>
          </w:p>
        </w:tc>
        <w:tc>
          <w:tcPr>
            <w:tcW w:w="1985"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atLeast"/>
              <w:jc w:val="right"/>
              <w:rPr>
                <w:rFonts w:ascii="宋体" w:eastAsia="宋体" w:hAnsi="宋体" w:cs="宋体"/>
                <w:sz w:val="18"/>
                <w:szCs w:val="18"/>
              </w:rPr>
            </w:pPr>
            <w:r>
              <w:rPr>
                <w:rFonts w:ascii="宋体" w:eastAsia="宋体" w:hAnsi="宋体" w:cs="宋体"/>
                <w:sz w:val="18"/>
                <w:szCs w:val="18"/>
              </w:rPr>
              <w:t>12,531,628.38</w:t>
            </w:r>
          </w:p>
        </w:tc>
        <w:tc>
          <w:tcPr>
            <w:tcW w:w="1757"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atLeast"/>
              <w:jc w:val="right"/>
              <w:rPr>
                <w:rFonts w:ascii="宋体" w:eastAsia="宋体" w:hAnsi="宋体" w:cs="宋体"/>
                <w:sz w:val="18"/>
                <w:szCs w:val="18"/>
              </w:rPr>
            </w:pPr>
            <w:r>
              <w:rPr>
                <w:rFonts w:ascii="宋体" w:eastAsia="宋体" w:hAnsi="宋体" w:cs="宋体"/>
                <w:sz w:val="18"/>
                <w:szCs w:val="18"/>
              </w:rPr>
              <w:t>-6,323,269.61</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atLeast"/>
              <w:jc w:val="right"/>
              <w:rPr>
                <w:rFonts w:ascii="宋体" w:eastAsia="宋体" w:hAnsi="宋体" w:cs="宋体"/>
                <w:sz w:val="18"/>
                <w:szCs w:val="18"/>
              </w:rPr>
            </w:pPr>
            <w:r>
              <w:rPr>
                <w:rFonts w:ascii="宋体" w:eastAsia="宋体" w:hAnsi="宋体" w:cs="宋体"/>
                <w:sz w:val="18"/>
                <w:szCs w:val="18"/>
              </w:rPr>
              <w:t>486,217.95</w:t>
            </w:r>
          </w:p>
        </w:tc>
      </w:tr>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atLeast"/>
              <w:rPr>
                <w:rFonts w:ascii="宋体" w:eastAsia="宋体" w:hAnsi="宋体" w:cs="宋体"/>
                <w:sz w:val="18"/>
                <w:szCs w:val="18"/>
              </w:rPr>
            </w:pPr>
            <w:r>
              <w:rPr>
                <w:rFonts w:ascii="宋体" w:eastAsia="宋体" w:hAnsi="宋体" w:cs="宋体"/>
                <w:sz w:val="18"/>
                <w:szCs w:val="18"/>
              </w:rPr>
              <w:t>归属于上市公司股东的扣除非经常性损益的净利润</w:t>
            </w:r>
          </w:p>
        </w:tc>
        <w:tc>
          <w:tcPr>
            <w:tcW w:w="1842"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atLeast"/>
              <w:jc w:val="right"/>
              <w:rPr>
                <w:rFonts w:ascii="宋体" w:eastAsia="宋体" w:hAnsi="宋体" w:cs="宋体"/>
                <w:sz w:val="18"/>
                <w:szCs w:val="18"/>
              </w:rPr>
            </w:pPr>
            <w:r>
              <w:rPr>
                <w:rFonts w:ascii="宋体" w:eastAsia="宋体" w:hAnsi="宋体" w:cs="宋体"/>
                <w:sz w:val="18"/>
                <w:szCs w:val="18"/>
              </w:rPr>
              <w:t>7,571,162.32</w:t>
            </w:r>
          </w:p>
        </w:tc>
        <w:tc>
          <w:tcPr>
            <w:tcW w:w="1985"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atLeast"/>
              <w:jc w:val="right"/>
              <w:rPr>
                <w:rFonts w:ascii="宋体" w:eastAsia="宋体" w:hAnsi="宋体" w:cs="宋体"/>
                <w:sz w:val="18"/>
                <w:szCs w:val="18"/>
              </w:rPr>
            </w:pPr>
            <w:r>
              <w:rPr>
                <w:rFonts w:ascii="宋体" w:eastAsia="宋体" w:hAnsi="宋体" w:cs="宋体"/>
                <w:sz w:val="18"/>
                <w:szCs w:val="18"/>
              </w:rPr>
              <w:t>8,965,735.23</w:t>
            </w:r>
          </w:p>
        </w:tc>
        <w:tc>
          <w:tcPr>
            <w:tcW w:w="1757"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atLeast"/>
              <w:jc w:val="right"/>
              <w:rPr>
                <w:rFonts w:ascii="宋体" w:eastAsia="宋体" w:hAnsi="宋体" w:cs="宋体"/>
                <w:sz w:val="18"/>
                <w:szCs w:val="18"/>
              </w:rPr>
            </w:pPr>
            <w:r>
              <w:rPr>
                <w:rFonts w:ascii="宋体" w:eastAsia="宋体" w:hAnsi="宋体" w:cs="宋体"/>
                <w:sz w:val="18"/>
                <w:szCs w:val="18"/>
              </w:rPr>
              <w:t>-7,709,945.43</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CD31D4" w:rsidP="009D31FB">
            <w:pPr>
              <w:spacing w:line="300" w:lineRule="atLeast"/>
              <w:jc w:val="right"/>
              <w:rPr>
                <w:rFonts w:ascii="宋体" w:eastAsia="宋体" w:hAnsi="宋体" w:cs="宋体"/>
                <w:sz w:val="18"/>
                <w:szCs w:val="18"/>
              </w:rPr>
            </w:pPr>
            <w:r w:rsidRPr="00446A85">
              <w:rPr>
                <w:rFonts w:ascii="宋体" w:eastAsia="宋体" w:hAnsi="宋体" w:cs="宋体"/>
                <w:sz w:val="18"/>
                <w:szCs w:val="18"/>
              </w:rPr>
              <w:t>-4,615,662.29</w:t>
            </w:r>
          </w:p>
        </w:tc>
      </w:tr>
      <w:tr w:rsidR="004D58E7" w:rsidTr="009D31FB">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atLeast"/>
              <w:rPr>
                <w:rFonts w:ascii="宋体" w:eastAsia="宋体" w:hAnsi="宋体" w:cs="宋体"/>
                <w:sz w:val="18"/>
                <w:szCs w:val="18"/>
              </w:rPr>
            </w:pPr>
            <w:r>
              <w:rPr>
                <w:rFonts w:ascii="宋体" w:eastAsia="宋体" w:hAnsi="宋体" w:cs="宋体"/>
                <w:sz w:val="18"/>
                <w:szCs w:val="18"/>
              </w:rPr>
              <w:t>经营活动产生的现金流量净额</w:t>
            </w:r>
          </w:p>
        </w:tc>
        <w:tc>
          <w:tcPr>
            <w:tcW w:w="1842"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atLeast"/>
              <w:jc w:val="right"/>
              <w:rPr>
                <w:rFonts w:ascii="宋体" w:eastAsia="宋体" w:hAnsi="宋体" w:cs="宋体"/>
                <w:sz w:val="18"/>
                <w:szCs w:val="18"/>
              </w:rPr>
            </w:pPr>
            <w:r>
              <w:rPr>
                <w:rFonts w:ascii="宋体" w:eastAsia="宋体" w:hAnsi="宋体" w:cs="宋体"/>
                <w:sz w:val="18"/>
                <w:szCs w:val="18"/>
              </w:rPr>
              <w:t>-6,116,427.18</w:t>
            </w:r>
          </w:p>
        </w:tc>
        <w:tc>
          <w:tcPr>
            <w:tcW w:w="1985"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atLeast"/>
              <w:jc w:val="right"/>
              <w:rPr>
                <w:rFonts w:ascii="宋体" w:eastAsia="宋体" w:hAnsi="宋体" w:cs="宋体"/>
                <w:sz w:val="18"/>
                <w:szCs w:val="18"/>
              </w:rPr>
            </w:pPr>
            <w:r>
              <w:rPr>
                <w:rFonts w:ascii="宋体" w:eastAsia="宋体" w:hAnsi="宋体" w:cs="宋体"/>
                <w:sz w:val="18"/>
                <w:szCs w:val="18"/>
              </w:rPr>
              <w:t>-11,651,299.42</w:t>
            </w:r>
          </w:p>
        </w:tc>
        <w:tc>
          <w:tcPr>
            <w:tcW w:w="1757"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atLeast"/>
              <w:jc w:val="right"/>
              <w:rPr>
                <w:rFonts w:ascii="宋体" w:eastAsia="宋体" w:hAnsi="宋体" w:cs="宋体"/>
                <w:sz w:val="18"/>
                <w:szCs w:val="18"/>
              </w:rPr>
            </w:pPr>
            <w:r>
              <w:rPr>
                <w:rFonts w:ascii="宋体" w:eastAsia="宋体" w:hAnsi="宋体" w:cs="宋体"/>
                <w:sz w:val="18"/>
                <w:szCs w:val="18"/>
              </w:rPr>
              <w:t>-30,147,407.76</w:t>
            </w:r>
          </w:p>
        </w:tc>
        <w:tc>
          <w:tcPr>
            <w:tcW w:w="1928"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atLeast"/>
              <w:jc w:val="right"/>
              <w:rPr>
                <w:rFonts w:ascii="宋体" w:eastAsia="宋体" w:hAnsi="宋体" w:cs="宋体"/>
                <w:sz w:val="18"/>
                <w:szCs w:val="18"/>
              </w:rPr>
            </w:pPr>
            <w:r>
              <w:rPr>
                <w:rFonts w:ascii="宋体" w:eastAsia="宋体" w:hAnsi="宋体" w:cs="宋体"/>
                <w:sz w:val="18"/>
                <w:szCs w:val="18"/>
              </w:rPr>
              <w:t>-7,915,051.02</w:t>
            </w:r>
          </w:p>
        </w:tc>
      </w:tr>
    </w:tbl>
    <w:p w:rsidR="004D58E7" w:rsidRDefault="00721935" w:rsidP="00BC66F2">
      <w:pPr>
        <w:spacing w:line="360" w:lineRule="auto"/>
        <w:rPr>
          <w:rFonts w:ascii="宋体" w:eastAsia="宋体" w:hAnsi="宋体" w:cs="宋体"/>
          <w:sz w:val="18"/>
          <w:szCs w:val="18"/>
        </w:rPr>
      </w:pPr>
      <w:r>
        <w:rPr>
          <w:rFonts w:ascii="宋体" w:eastAsia="宋体" w:hAnsi="宋体" w:cs="宋体"/>
          <w:sz w:val="18"/>
          <w:szCs w:val="18"/>
        </w:rPr>
        <w:t>上述财务指标或其加总数是否与公司已披露季度报告、半年度报告相关财务指标存在重大差异</w:t>
      </w:r>
    </w:p>
    <w:p w:rsidR="004D58E7" w:rsidRDefault="00721935" w:rsidP="00BC66F2">
      <w:pPr>
        <w:spacing w:line="360" w:lineRule="auto"/>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4D58E7" w:rsidRDefault="00721935">
      <w:pPr>
        <w:pStyle w:val="3"/>
        <w:spacing w:line="280" w:lineRule="exact"/>
        <w:jc w:val="left"/>
        <w:rPr>
          <w:rFonts w:ascii="宋体" w:hAnsi="宋体" w:cs="宋体"/>
          <w:b/>
          <w:bCs/>
        </w:rPr>
      </w:pPr>
      <w:bookmarkStart w:id="7" w:name="_Toc988896"/>
      <w:r>
        <w:rPr>
          <w:rFonts w:ascii="宋体" w:hAnsi="宋体" w:cs="宋体"/>
          <w:b/>
          <w:bCs/>
        </w:rPr>
        <w:lastRenderedPageBreak/>
        <w:t>4、股本及股东情况</w:t>
      </w:r>
      <w:bookmarkEnd w:id="7"/>
    </w:p>
    <w:p w:rsidR="004D58E7" w:rsidRDefault="00721935">
      <w:pPr>
        <w:keepNext/>
        <w:keepLines/>
        <w:spacing w:before="300" w:after="300" w:line="280" w:lineRule="exact"/>
        <w:outlineLvl w:val="3"/>
        <w:rPr>
          <w:rFonts w:ascii="宋体" w:eastAsia="宋体" w:hAnsi="宋体" w:cs="宋体"/>
          <w:b/>
          <w:bCs/>
          <w:sz w:val="18"/>
          <w:szCs w:val="18"/>
        </w:rPr>
      </w:pPr>
      <w:bookmarkStart w:id="8" w:name="_Toc988897"/>
      <w:r>
        <w:rPr>
          <w:rFonts w:ascii="宋体" w:eastAsia="宋体" w:hAnsi="宋体" w:cs="宋体"/>
          <w:b/>
          <w:bCs/>
          <w:sz w:val="18"/>
          <w:szCs w:val="18"/>
        </w:rPr>
        <w:t>（1） 普通股股东和表决权恢复的优先股股东数量及前10名股东持股情况表</w:t>
      </w:r>
      <w:bookmarkEnd w:id="8"/>
    </w:p>
    <w:p w:rsidR="004D58E7" w:rsidRDefault="00721935">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93"/>
        <w:gridCol w:w="850"/>
        <w:gridCol w:w="1559"/>
        <w:gridCol w:w="993"/>
        <w:gridCol w:w="1417"/>
        <w:gridCol w:w="992"/>
        <w:gridCol w:w="426"/>
        <w:gridCol w:w="1134"/>
        <w:gridCol w:w="1275"/>
      </w:tblGrid>
      <w:tr w:rsidR="004D58E7" w:rsidTr="00D1042A">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rPr>
                <w:rFonts w:ascii="宋体" w:eastAsia="宋体" w:hAnsi="宋体" w:cs="宋体"/>
                <w:sz w:val="18"/>
                <w:szCs w:val="18"/>
              </w:rPr>
            </w:pPr>
            <w:r>
              <w:rPr>
                <w:rFonts w:ascii="宋体" w:eastAsia="宋体" w:hAnsi="宋体" w:cs="宋体"/>
                <w:sz w:val="18"/>
                <w:szCs w:val="18"/>
              </w:rPr>
              <w:t>报告期末普通股股东总数</w:t>
            </w:r>
          </w:p>
        </w:tc>
        <w:tc>
          <w:tcPr>
            <w:tcW w:w="850"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30,591</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rPr>
                <w:rFonts w:ascii="宋体" w:eastAsia="宋体" w:hAnsi="宋体" w:cs="宋体"/>
                <w:sz w:val="18"/>
                <w:szCs w:val="18"/>
              </w:rPr>
            </w:pPr>
            <w:r>
              <w:rPr>
                <w:rFonts w:ascii="宋体" w:eastAsia="宋体" w:hAnsi="宋体" w:cs="宋体"/>
                <w:sz w:val="18"/>
                <w:szCs w:val="18"/>
              </w:rPr>
              <w:t>年度报告披露日前一个月末普通股股东总数</w:t>
            </w:r>
          </w:p>
        </w:tc>
        <w:tc>
          <w:tcPr>
            <w:tcW w:w="993"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29,149</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rPr>
                <w:rFonts w:ascii="宋体" w:eastAsia="宋体" w:hAnsi="宋体" w:cs="宋体"/>
                <w:sz w:val="18"/>
                <w:szCs w:val="18"/>
              </w:rPr>
            </w:pPr>
            <w:r>
              <w:rPr>
                <w:rFonts w:ascii="宋体" w:eastAsia="宋体" w:hAnsi="宋体" w:cs="宋体"/>
                <w:sz w:val="18"/>
                <w:szCs w:val="18"/>
              </w:rPr>
              <w:t>报告期末表决权恢复的优先股股东总数</w:t>
            </w:r>
          </w:p>
        </w:tc>
        <w:tc>
          <w:tcPr>
            <w:tcW w:w="992"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5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rPr>
                <w:rFonts w:ascii="宋体" w:eastAsia="宋体" w:hAnsi="宋体" w:cs="宋体"/>
                <w:sz w:val="18"/>
                <w:szCs w:val="18"/>
              </w:rPr>
            </w:pPr>
            <w:r>
              <w:rPr>
                <w:rFonts w:ascii="宋体" w:eastAsia="宋体" w:hAnsi="宋体" w:cs="宋体"/>
                <w:sz w:val="18"/>
                <w:szCs w:val="18"/>
              </w:rPr>
              <w:t>年度报告披露日前一个月末表决权恢复的优先股股东总数</w:t>
            </w:r>
          </w:p>
        </w:tc>
        <w:tc>
          <w:tcPr>
            <w:tcW w:w="1275"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4D58E7">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前10名股东持股情况（不含通过转融通出借股份）</w:t>
            </w:r>
          </w:p>
        </w:tc>
      </w:tr>
      <w:tr w:rsidR="004D58E7" w:rsidTr="009D31FB">
        <w:trPr>
          <w:trHeight w:val="240"/>
        </w:trPr>
        <w:tc>
          <w:tcPr>
            <w:tcW w:w="1843"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股东名称</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股东性质</w:t>
            </w:r>
          </w:p>
        </w:tc>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持股比例</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持股数量</w:t>
            </w:r>
          </w:p>
        </w:tc>
        <w:tc>
          <w:tcPr>
            <w:tcW w:w="1418"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持有有限售条件的股份数量</w:t>
            </w:r>
          </w:p>
        </w:tc>
        <w:tc>
          <w:tcPr>
            <w:tcW w:w="240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4D58E7" w:rsidTr="009D31FB">
        <w:trPr>
          <w:trHeight w:val="240"/>
        </w:trPr>
        <w:tc>
          <w:tcPr>
            <w:tcW w:w="1843"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4D58E7" w:rsidP="009D31FB">
            <w:pPr>
              <w:spacing w:line="300" w:lineRule="exact"/>
            </w:pP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4D58E7" w:rsidP="009D31FB">
            <w:pPr>
              <w:spacing w:line="300" w:lineRule="exact"/>
            </w:pPr>
          </w:p>
        </w:tc>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4D58E7" w:rsidP="009D31FB">
            <w:pPr>
              <w:spacing w:line="300" w:lineRule="exact"/>
            </w:pPr>
          </w:p>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4D58E7" w:rsidP="009D31FB">
            <w:pPr>
              <w:spacing w:line="300" w:lineRule="exact"/>
            </w:pPr>
          </w:p>
        </w:tc>
        <w:tc>
          <w:tcPr>
            <w:tcW w:w="1418"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4D58E7" w:rsidP="009D31FB">
            <w:pPr>
              <w:spacing w:line="300" w:lineRule="exact"/>
            </w:pP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股份状态</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jc w:val="center"/>
              <w:rPr>
                <w:rFonts w:ascii="宋体" w:eastAsia="宋体" w:hAnsi="宋体" w:cs="宋体"/>
                <w:sz w:val="18"/>
                <w:szCs w:val="18"/>
              </w:rPr>
            </w:pPr>
            <w:r>
              <w:rPr>
                <w:rFonts w:ascii="宋体" w:eastAsia="宋体" w:hAnsi="宋体" w:cs="宋体"/>
                <w:sz w:val="18"/>
                <w:szCs w:val="18"/>
              </w:rPr>
              <w:t>数量</w:t>
            </w:r>
          </w:p>
        </w:tc>
      </w:tr>
      <w:tr w:rsidR="009D31FB" w:rsidTr="009D31FB">
        <w:trPr>
          <w:trHeight w:val="240"/>
        </w:trPr>
        <w:tc>
          <w:tcPr>
            <w:tcW w:w="1843" w:type="dxa"/>
            <w:gridSpan w:val="2"/>
            <w:vMerge w:val="restart"/>
            <w:tcBorders>
              <w:top w:val="single" w:sz="2" w:space="0" w:color="auto"/>
              <w:left w:val="single" w:sz="2" w:space="0" w:color="auto"/>
              <w:right w:val="single" w:sz="2" w:space="0" w:color="auto"/>
            </w:tcBorders>
            <w:vAlign w:val="center"/>
          </w:tcPr>
          <w:p w:rsidR="009D31FB" w:rsidRDefault="009D31FB" w:rsidP="009D31FB">
            <w:pPr>
              <w:spacing w:line="300" w:lineRule="exact"/>
              <w:rPr>
                <w:rFonts w:ascii="宋体" w:eastAsia="宋体" w:hAnsi="宋体" w:cs="宋体"/>
                <w:sz w:val="18"/>
                <w:szCs w:val="18"/>
              </w:rPr>
            </w:pPr>
            <w:r>
              <w:rPr>
                <w:rFonts w:ascii="宋体" w:eastAsia="宋体" w:hAnsi="宋体" w:cs="宋体"/>
                <w:sz w:val="18"/>
                <w:szCs w:val="18"/>
              </w:rPr>
              <w:t>德力西集团有限公司</w:t>
            </w:r>
          </w:p>
        </w:tc>
        <w:tc>
          <w:tcPr>
            <w:tcW w:w="1559" w:type="dxa"/>
            <w:vMerge w:val="restart"/>
            <w:tcBorders>
              <w:top w:val="single" w:sz="2" w:space="0" w:color="auto"/>
              <w:left w:val="single" w:sz="2" w:space="0" w:color="auto"/>
              <w:right w:val="single" w:sz="2" w:space="0" w:color="auto"/>
            </w:tcBorders>
            <w:vAlign w:val="center"/>
          </w:tcPr>
          <w:p w:rsidR="009D31FB" w:rsidRDefault="009D31FB" w:rsidP="009D31FB">
            <w:pPr>
              <w:spacing w:line="300" w:lineRule="exact"/>
              <w:rPr>
                <w:rFonts w:ascii="宋体" w:eastAsia="宋体" w:hAnsi="宋体" w:cs="宋体"/>
                <w:sz w:val="18"/>
                <w:szCs w:val="18"/>
              </w:rPr>
            </w:pPr>
            <w:r>
              <w:rPr>
                <w:rFonts w:ascii="宋体" w:eastAsia="宋体" w:hAnsi="宋体" w:cs="宋体"/>
                <w:sz w:val="18"/>
                <w:szCs w:val="18"/>
              </w:rPr>
              <w:t>境内非国有法人</w:t>
            </w:r>
          </w:p>
        </w:tc>
        <w:tc>
          <w:tcPr>
            <w:tcW w:w="993" w:type="dxa"/>
            <w:vMerge w:val="restart"/>
            <w:tcBorders>
              <w:top w:val="single" w:sz="2" w:space="0" w:color="auto"/>
              <w:left w:val="single" w:sz="2" w:space="0" w:color="auto"/>
              <w:right w:val="single" w:sz="2" w:space="0" w:color="auto"/>
            </w:tcBorders>
            <w:vAlign w:val="center"/>
          </w:tcPr>
          <w:p w:rsidR="009D31FB" w:rsidRDefault="009D31FB" w:rsidP="009D31FB">
            <w:pPr>
              <w:spacing w:line="300" w:lineRule="exact"/>
              <w:jc w:val="right"/>
              <w:rPr>
                <w:rFonts w:ascii="宋体" w:eastAsia="宋体" w:hAnsi="宋体" w:cs="宋体"/>
                <w:sz w:val="18"/>
                <w:szCs w:val="18"/>
              </w:rPr>
            </w:pPr>
            <w:r>
              <w:rPr>
                <w:rFonts w:ascii="宋体" w:eastAsia="宋体" w:hAnsi="宋体" w:cs="宋体"/>
                <w:sz w:val="18"/>
                <w:szCs w:val="18"/>
              </w:rPr>
              <w:t>42.64%</w:t>
            </w:r>
          </w:p>
        </w:tc>
        <w:tc>
          <w:tcPr>
            <w:tcW w:w="1417" w:type="dxa"/>
            <w:vMerge w:val="restart"/>
            <w:tcBorders>
              <w:top w:val="single" w:sz="2" w:space="0" w:color="auto"/>
              <w:left w:val="single" w:sz="2" w:space="0" w:color="auto"/>
              <w:right w:val="single" w:sz="2" w:space="0" w:color="auto"/>
            </w:tcBorders>
            <w:vAlign w:val="center"/>
          </w:tcPr>
          <w:p w:rsidR="009D31FB" w:rsidRDefault="009D31FB" w:rsidP="009D31FB">
            <w:pPr>
              <w:spacing w:line="300" w:lineRule="exact"/>
              <w:jc w:val="right"/>
              <w:rPr>
                <w:rFonts w:ascii="宋体" w:eastAsia="宋体" w:hAnsi="宋体" w:cs="宋体"/>
                <w:sz w:val="18"/>
                <w:szCs w:val="18"/>
              </w:rPr>
            </w:pPr>
            <w:r>
              <w:rPr>
                <w:rFonts w:ascii="宋体" w:eastAsia="宋体" w:hAnsi="宋体" w:cs="宋体"/>
                <w:sz w:val="18"/>
                <w:szCs w:val="18"/>
              </w:rPr>
              <w:t>186,087,400</w:t>
            </w:r>
          </w:p>
        </w:tc>
        <w:tc>
          <w:tcPr>
            <w:tcW w:w="1418" w:type="dxa"/>
            <w:gridSpan w:val="2"/>
            <w:vMerge w:val="restart"/>
            <w:tcBorders>
              <w:top w:val="single" w:sz="2" w:space="0" w:color="auto"/>
              <w:left w:val="single" w:sz="2" w:space="0" w:color="auto"/>
              <w:right w:val="single" w:sz="2" w:space="0" w:color="auto"/>
            </w:tcBorders>
            <w:vAlign w:val="center"/>
          </w:tcPr>
          <w:p w:rsidR="009D31FB" w:rsidRDefault="009D31FB"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9D31FB" w:rsidRDefault="009D31FB" w:rsidP="009D31FB">
            <w:pPr>
              <w:spacing w:line="300" w:lineRule="exact"/>
              <w:rPr>
                <w:rFonts w:ascii="宋体" w:eastAsia="宋体" w:hAnsi="宋体" w:cs="宋体"/>
                <w:sz w:val="18"/>
                <w:szCs w:val="18"/>
              </w:rPr>
            </w:pPr>
            <w:r>
              <w:rPr>
                <w:rFonts w:ascii="宋体" w:eastAsia="宋体" w:hAnsi="宋体" w:cs="宋体"/>
                <w:sz w:val="18"/>
                <w:szCs w:val="18"/>
              </w:rPr>
              <w:t>质押</w:t>
            </w:r>
          </w:p>
        </w:tc>
        <w:tc>
          <w:tcPr>
            <w:tcW w:w="1275" w:type="dxa"/>
            <w:tcBorders>
              <w:top w:val="single" w:sz="2" w:space="0" w:color="auto"/>
              <w:left w:val="single" w:sz="2" w:space="0" w:color="auto"/>
              <w:bottom w:val="single" w:sz="2" w:space="0" w:color="auto"/>
              <w:right w:val="single" w:sz="2" w:space="0" w:color="auto"/>
            </w:tcBorders>
            <w:vAlign w:val="center"/>
          </w:tcPr>
          <w:p w:rsidR="009D31FB" w:rsidRDefault="009D31FB" w:rsidP="009D31FB">
            <w:pPr>
              <w:spacing w:line="300" w:lineRule="exact"/>
              <w:jc w:val="right"/>
              <w:rPr>
                <w:rFonts w:ascii="宋体" w:eastAsia="宋体" w:hAnsi="宋体" w:cs="宋体"/>
                <w:sz w:val="18"/>
                <w:szCs w:val="18"/>
              </w:rPr>
            </w:pPr>
            <w:r>
              <w:rPr>
                <w:rFonts w:ascii="宋体" w:eastAsia="宋体" w:hAnsi="宋体" w:cs="宋体"/>
                <w:sz w:val="18"/>
                <w:szCs w:val="18"/>
              </w:rPr>
              <w:t>70,000,000</w:t>
            </w:r>
          </w:p>
        </w:tc>
      </w:tr>
      <w:tr w:rsidR="009D31FB" w:rsidTr="009D31FB">
        <w:trPr>
          <w:trHeight w:val="240"/>
        </w:trPr>
        <w:tc>
          <w:tcPr>
            <w:tcW w:w="1843" w:type="dxa"/>
            <w:gridSpan w:val="2"/>
            <w:vMerge/>
            <w:tcBorders>
              <w:left w:val="single" w:sz="2" w:space="0" w:color="auto"/>
              <w:bottom w:val="single" w:sz="2" w:space="0" w:color="auto"/>
              <w:right w:val="single" w:sz="2" w:space="0" w:color="auto"/>
            </w:tcBorders>
            <w:vAlign w:val="center"/>
          </w:tcPr>
          <w:p w:rsidR="009D31FB" w:rsidRDefault="009D31FB" w:rsidP="009D31FB">
            <w:pPr>
              <w:spacing w:line="300" w:lineRule="exact"/>
              <w:rPr>
                <w:rFonts w:ascii="宋体" w:eastAsia="宋体" w:hAnsi="宋体" w:cs="宋体"/>
                <w:sz w:val="18"/>
                <w:szCs w:val="18"/>
              </w:rPr>
            </w:pPr>
          </w:p>
        </w:tc>
        <w:tc>
          <w:tcPr>
            <w:tcW w:w="1559" w:type="dxa"/>
            <w:vMerge/>
            <w:tcBorders>
              <w:left w:val="single" w:sz="2" w:space="0" w:color="auto"/>
              <w:bottom w:val="single" w:sz="2" w:space="0" w:color="auto"/>
              <w:right w:val="single" w:sz="2" w:space="0" w:color="auto"/>
            </w:tcBorders>
            <w:vAlign w:val="center"/>
          </w:tcPr>
          <w:p w:rsidR="009D31FB" w:rsidRDefault="009D31FB" w:rsidP="009D31FB">
            <w:pPr>
              <w:spacing w:line="300" w:lineRule="exact"/>
              <w:rPr>
                <w:rFonts w:ascii="宋体" w:eastAsia="宋体" w:hAnsi="宋体" w:cs="宋体"/>
                <w:sz w:val="18"/>
                <w:szCs w:val="18"/>
              </w:rPr>
            </w:pPr>
          </w:p>
        </w:tc>
        <w:tc>
          <w:tcPr>
            <w:tcW w:w="993" w:type="dxa"/>
            <w:vMerge/>
            <w:tcBorders>
              <w:left w:val="single" w:sz="2" w:space="0" w:color="auto"/>
              <w:bottom w:val="single" w:sz="2" w:space="0" w:color="auto"/>
              <w:right w:val="single" w:sz="2" w:space="0" w:color="auto"/>
            </w:tcBorders>
            <w:vAlign w:val="center"/>
          </w:tcPr>
          <w:p w:rsidR="009D31FB" w:rsidRDefault="009D31FB" w:rsidP="009D31FB">
            <w:pPr>
              <w:spacing w:line="300" w:lineRule="exact"/>
              <w:jc w:val="right"/>
              <w:rPr>
                <w:rFonts w:ascii="宋体" w:eastAsia="宋体" w:hAnsi="宋体" w:cs="宋体"/>
                <w:sz w:val="18"/>
                <w:szCs w:val="18"/>
              </w:rPr>
            </w:pPr>
          </w:p>
        </w:tc>
        <w:tc>
          <w:tcPr>
            <w:tcW w:w="1417" w:type="dxa"/>
            <w:vMerge/>
            <w:tcBorders>
              <w:left w:val="single" w:sz="2" w:space="0" w:color="auto"/>
              <w:bottom w:val="single" w:sz="2" w:space="0" w:color="auto"/>
              <w:right w:val="single" w:sz="2" w:space="0" w:color="auto"/>
            </w:tcBorders>
            <w:vAlign w:val="center"/>
          </w:tcPr>
          <w:p w:rsidR="009D31FB" w:rsidRDefault="009D31FB" w:rsidP="009D31FB">
            <w:pPr>
              <w:spacing w:line="300" w:lineRule="exact"/>
              <w:jc w:val="right"/>
              <w:rPr>
                <w:rFonts w:ascii="宋体" w:eastAsia="宋体" w:hAnsi="宋体" w:cs="宋体"/>
                <w:sz w:val="18"/>
                <w:szCs w:val="18"/>
              </w:rPr>
            </w:pPr>
          </w:p>
        </w:tc>
        <w:tc>
          <w:tcPr>
            <w:tcW w:w="1418" w:type="dxa"/>
            <w:gridSpan w:val="2"/>
            <w:vMerge/>
            <w:tcBorders>
              <w:left w:val="single" w:sz="2" w:space="0" w:color="auto"/>
              <w:bottom w:val="single" w:sz="2" w:space="0" w:color="auto"/>
              <w:right w:val="single" w:sz="2" w:space="0" w:color="auto"/>
            </w:tcBorders>
            <w:vAlign w:val="center"/>
          </w:tcPr>
          <w:p w:rsidR="009D31FB" w:rsidRDefault="009D31FB" w:rsidP="009D31FB">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9D31FB" w:rsidRDefault="009D31FB" w:rsidP="009D31FB">
            <w:pPr>
              <w:spacing w:line="300" w:lineRule="exact"/>
              <w:rPr>
                <w:rFonts w:ascii="宋体" w:eastAsia="宋体" w:hAnsi="宋体" w:cs="宋体"/>
                <w:sz w:val="18"/>
                <w:szCs w:val="18"/>
              </w:rPr>
            </w:pPr>
            <w:r>
              <w:rPr>
                <w:rFonts w:ascii="宋体" w:eastAsia="宋体" w:hAnsi="宋体" w:cs="宋体"/>
                <w:sz w:val="18"/>
                <w:szCs w:val="18"/>
              </w:rPr>
              <w:t>冻结</w:t>
            </w:r>
          </w:p>
        </w:tc>
        <w:tc>
          <w:tcPr>
            <w:tcW w:w="1275" w:type="dxa"/>
            <w:tcBorders>
              <w:top w:val="single" w:sz="2" w:space="0" w:color="auto"/>
              <w:left w:val="single" w:sz="2" w:space="0" w:color="auto"/>
              <w:bottom w:val="single" w:sz="2" w:space="0" w:color="auto"/>
              <w:right w:val="single" w:sz="2" w:space="0" w:color="auto"/>
            </w:tcBorders>
            <w:vAlign w:val="center"/>
          </w:tcPr>
          <w:p w:rsidR="009D31FB" w:rsidRDefault="009D31FB" w:rsidP="009D31FB">
            <w:pPr>
              <w:spacing w:line="300" w:lineRule="exact"/>
              <w:jc w:val="right"/>
              <w:rPr>
                <w:rFonts w:ascii="宋体" w:eastAsia="宋体" w:hAnsi="宋体" w:cs="宋体"/>
                <w:sz w:val="18"/>
                <w:szCs w:val="18"/>
              </w:rPr>
            </w:pPr>
            <w:r>
              <w:rPr>
                <w:rFonts w:ascii="宋体" w:eastAsia="宋体" w:hAnsi="宋体" w:cs="宋体"/>
                <w:sz w:val="18"/>
                <w:szCs w:val="18"/>
              </w:rPr>
              <w:t>30,000,000</w:t>
            </w:r>
          </w:p>
        </w:tc>
      </w:tr>
      <w:tr w:rsidR="004D58E7" w:rsidTr="009D31FB">
        <w:trPr>
          <w:trHeight w:val="240"/>
        </w:trPr>
        <w:tc>
          <w:tcPr>
            <w:tcW w:w="1843"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谢慧明</w:t>
            </w:r>
          </w:p>
        </w:tc>
        <w:tc>
          <w:tcPr>
            <w:tcW w:w="1559"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3"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3.55%</w:t>
            </w:r>
          </w:p>
        </w:tc>
        <w:tc>
          <w:tcPr>
            <w:tcW w:w="1417"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15,480,600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4D58E7" w:rsidTr="009D31FB">
        <w:trPr>
          <w:trHeight w:val="240"/>
        </w:trPr>
        <w:tc>
          <w:tcPr>
            <w:tcW w:w="1843"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胡成中</w:t>
            </w:r>
          </w:p>
        </w:tc>
        <w:tc>
          <w:tcPr>
            <w:tcW w:w="1559"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3"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1.46%</w:t>
            </w:r>
          </w:p>
        </w:tc>
        <w:tc>
          <w:tcPr>
            <w:tcW w:w="1417"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6,350,000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4D58E7" w:rsidTr="009D31FB">
        <w:trPr>
          <w:trHeight w:val="240"/>
        </w:trPr>
        <w:tc>
          <w:tcPr>
            <w:tcW w:w="1843"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泰康人寿保险有限责任公司－分红－团体分红-019L-FH001深</w:t>
            </w:r>
          </w:p>
        </w:tc>
        <w:tc>
          <w:tcPr>
            <w:tcW w:w="1559"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其他</w:t>
            </w:r>
          </w:p>
        </w:tc>
        <w:tc>
          <w:tcPr>
            <w:tcW w:w="993"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0.46%</w:t>
            </w:r>
          </w:p>
        </w:tc>
        <w:tc>
          <w:tcPr>
            <w:tcW w:w="1417"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1,993,800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4D58E7" w:rsidTr="009D31FB">
        <w:trPr>
          <w:trHeight w:val="240"/>
        </w:trPr>
        <w:tc>
          <w:tcPr>
            <w:tcW w:w="1843"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冯骏</w:t>
            </w:r>
          </w:p>
        </w:tc>
        <w:tc>
          <w:tcPr>
            <w:tcW w:w="1559"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3"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0.43%</w:t>
            </w:r>
          </w:p>
        </w:tc>
        <w:tc>
          <w:tcPr>
            <w:tcW w:w="1417"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1,889,696</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4D58E7" w:rsidTr="009D31FB">
        <w:trPr>
          <w:trHeight w:val="240"/>
        </w:trPr>
        <w:tc>
          <w:tcPr>
            <w:tcW w:w="1843"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陈旭东</w:t>
            </w:r>
          </w:p>
        </w:tc>
        <w:tc>
          <w:tcPr>
            <w:tcW w:w="1559"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3"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0.41%</w:t>
            </w:r>
          </w:p>
        </w:tc>
        <w:tc>
          <w:tcPr>
            <w:tcW w:w="1417"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1,800,000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4D58E7" w:rsidTr="009D31FB">
        <w:trPr>
          <w:trHeight w:val="240"/>
        </w:trPr>
        <w:tc>
          <w:tcPr>
            <w:tcW w:w="1843"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陶昌梅</w:t>
            </w:r>
          </w:p>
        </w:tc>
        <w:tc>
          <w:tcPr>
            <w:tcW w:w="1559"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3"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0.34%</w:t>
            </w:r>
          </w:p>
        </w:tc>
        <w:tc>
          <w:tcPr>
            <w:tcW w:w="1417"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1,500,000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4D58E7" w:rsidTr="009D31FB">
        <w:trPr>
          <w:trHeight w:val="240"/>
        </w:trPr>
        <w:tc>
          <w:tcPr>
            <w:tcW w:w="1843"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周丽</w:t>
            </w:r>
          </w:p>
        </w:tc>
        <w:tc>
          <w:tcPr>
            <w:tcW w:w="1559"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3"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0.34%</w:t>
            </w:r>
          </w:p>
        </w:tc>
        <w:tc>
          <w:tcPr>
            <w:tcW w:w="1417"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1,500,000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4D58E7" w:rsidTr="009D31FB">
        <w:trPr>
          <w:trHeight w:val="240"/>
        </w:trPr>
        <w:tc>
          <w:tcPr>
            <w:tcW w:w="1843"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北京艾莱宏达商贸有限公司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境内非国有法人</w:t>
            </w:r>
          </w:p>
        </w:tc>
        <w:tc>
          <w:tcPr>
            <w:tcW w:w="993"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0.29%</w:t>
            </w:r>
          </w:p>
        </w:tc>
        <w:tc>
          <w:tcPr>
            <w:tcW w:w="1417"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1,250,000</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4D58E7" w:rsidTr="009D31FB">
        <w:trPr>
          <w:trHeight w:val="240"/>
        </w:trPr>
        <w:tc>
          <w:tcPr>
            <w:tcW w:w="1843"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虞建华</w:t>
            </w:r>
          </w:p>
        </w:tc>
        <w:tc>
          <w:tcPr>
            <w:tcW w:w="1559"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993"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0.28%</w:t>
            </w:r>
          </w:p>
        </w:tc>
        <w:tc>
          <w:tcPr>
            <w:tcW w:w="1417"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1,216,496</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不适用</w:t>
            </w:r>
          </w:p>
        </w:tc>
        <w:tc>
          <w:tcPr>
            <w:tcW w:w="1275" w:type="dxa"/>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4D58E7" w:rsidTr="009D31FB">
        <w:trPr>
          <w:trHeight w:val="240"/>
        </w:trPr>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796" w:type="dxa"/>
            <w:gridSpan w:val="7"/>
            <w:tcBorders>
              <w:top w:val="single" w:sz="2" w:space="0" w:color="auto"/>
              <w:left w:val="single" w:sz="2" w:space="0" w:color="auto"/>
              <w:bottom w:val="single" w:sz="2" w:space="0" w:color="auto"/>
              <w:right w:val="single" w:sz="2" w:space="0" w:color="auto"/>
            </w:tcBorders>
            <w:vAlign w:val="center"/>
          </w:tcPr>
          <w:p w:rsidR="004D58E7" w:rsidRDefault="00721935" w:rsidP="009D31FB">
            <w:pPr>
              <w:spacing w:line="300" w:lineRule="exact"/>
              <w:rPr>
                <w:rFonts w:ascii="宋体" w:eastAsia="宋体" w:hAnsi="宋体" w:cs="宋体"/>
                <w:sz w:val="18"/>
                <w:szCs w:val="18"/>
              </w:rPr>
            </w:pPr>
            <w:r>
              <w:rPr>
                <w:rFonts w:ascii="宋体" w:eastAsia="宋体" w:hAnsi="宋体" w:cs="宋体"/>
                <w:sz w:val="18"/>
                <w:szCs w:val="18"/>
              </w:rPr>
              <w:t>上述股东中，胡成中为公司控股股东德力西集团有限公司实际控制人，与德力西集团有限公司为一致行动人；除此之外，公司未知其他股东之间是否存在关联关系，也未知其他股东是否属于《上市公司收购管理办法》中规定的一致行动人。</w:t>
            </w:r>
          </w:p>
        </w:tc>
      </w:tr>
      <w:tr w:rsidR="004D58E7" w:rsidTr="009D31FB">
        <w:trPr>
          <w:trHeight w:val="240"/>
        </w:trPr>
        <w:tc>
          <w:tcPr>
            <w:tcW w:w="184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4D58E7" w:rsidRDefault="00721935" w:rsidP="009D31FB">
            <w:pPr>
              <w:spacing w:before="40" w:after="40" w:line="300" w:lineRule="exact"/>
              <w:rPr>
                <w:rFonts w:ascii="宋体" w:eastAsia="宋体" w:hAnsi="宋体" w:cs="宋体"/>
                <w:sz w:val="18"/>
                <w:szCs w:val="18"/>
              </w:rPr>
            </w:pPr>
            <w:r>
              <w:rPr>
                <w:rFonts w:ascii="宋体" w:eastAsia="宋体" w:hAnsi="宋体" w:cs="宋体"/>
                <w:sz w:val="18"/>
                <w:szCs w:val="18"/>
              </w:rPr>
              <w:t>参与融资融券业务股东情况说明（如有）</w:t>
            </w:r>
          </w:p>
        </w:tc>
        <w:tc>
          <w:tcPr>
            <w:tcW w:w="7796" w:type="dxa"/>
            <w:gridSpan w:val="7"/>
            <w:tcBorders>
              <w:top w:val="single" w:sz="2" w:space="0" w:color="auto"/>
              <w:left w:val="single" w:sz="2" w:space="0" w:color="auto"/>
              <w:bottom w:val="single" w:sz="2" w:space="0" w:color="auto"/>
              <w:right w:val="single" w:sz="2" w:space="0" w:color="auto"/>
            </w:tcBorders>
            <w:vAlign w:val="center"/>
          </w:tcPr>
          <w:p w:rsidR="004D58E7" w:rsidRDefault="00301667" w:rsidP="009D31FB">
            <w:pPr>
              <w:spacing w:line="300" w:lineRule="exact"/>
              <w:rPr>
                <w:rFonts w:ascii="宋体" w:eastAsia="宋体" w:hAnsi="宋体" w:cs="宋体"/>
                <w:sz w:val="18"/>
                <w:szCs w:val="18"/>
              </w:rPr>
            </w:pPr>
            <w:r w:rsidRPr="008B5490">
              <w:rPr>
                <w:rFonts w:ascii="宋体" w:eastAsia="宋体" w:hAnsi="宋体" w:cs="宋体"/>
                <w:sz w:val="18"/>
                <w:szCs w:val="18"/>
              </w:rPr>
              <w:t>前10名</w:t>
            </w:r>
            <w:r>
              <w:rPr>
                <w:rFonts w:ascii="宋体" w:eastAsia="宋体" w:hAnsi="宋体" w:cs="宋体" w:hint="eastAsia"/>
                <w:sz w:val="18"/>
                <w:szCs w:val="18"/>
              </w:rPr>
              <w:t>公司</w:t>
            </w:r>
            <w:r w:rsidRPr="008B5490">
              <w:rPr>
                <w:rFonts w:ascii="宋体" w:eastAsia="宋体" w:hAnsi="宋体" w:cs="宋体"/>
                <w:sz w:val="18"/>
                <w:szCs w:val="18"/>
              </w:rPr>
              <w:t>股东中，德力西集团有限公司</w:t>
            </w:r>
            <w:r w:rsidRPr="001F74D1">
              <w:rPr>
                <w:rFonts w:ascii="宋体" w:eastAsia="宋体" w:hAnsi="宋体" w:cs="宋体" w:hint="eastAsia"/>
                <w:sz w:val="18"/>
                <w:szCs w:val="18"/>
              </w:rPr>
              <w:t>通过普通证券账户持有</w:t>
            </w:r>
            <w:r w:rsidRPr="001F74D1">
              <w:rPr>
                <w:rFonts w:ascii="宋体" w:eastAsia="宋体" w:hAnsi="宋体" w:cs="宋体"/>
                <w:sz w:val="18"/>
                <w:szCs w:val="18"/>
              </w:rPr>
              <w:t xml:space="preserve">151,087,400 </w:t>
            </w:r>
            <w:r>
              <w:rPr>
                <w:rFonts w:ascii="宋体" w:eastAsia="宋体" w:hAnsi="宋体" w:cs="宋体" w:hint="eastAsia"/>
                <w:sz w:val="18"/>
                <w:szCs w:val="18"/>
              </w:rPr>
              <w:t>股</w:t>
            </w:r>
            <w:r w:rsidRPr="001F74D1">
              <w:rPr>
                <w:rFonts w:ascii="宋体" w:eastAsia="宋体" w:hAnsi="宋体" w:cs="宋体" w:hint="eastAsia"/>
                <w:sz w:val="18"/>
                <w:szCs w:val="18"/>
              </w:rPr>
              <w:t>,</w:t>
            </w:r>
            <w:r w:rsidRPr="008B5490">
              <w:rPr>
                <w:rFonts w:ascii="宋体" w:eastAsia="宋体" w:hAnsi="宋体" w:cs="宋体"/>
                <w:sz w:val="18"/>
                <w:szCs w:val="18"/>
              </w:rPr>
              <w:t>通过财通证券股份有限公司客户信用交易担保证券账户持有35,000,000股，</w:t>
            </w:r>
            <w:r>
              <w:rPr>
                <w:rFonts w:ascii="宋体" w:eastAsia="宋体" w:hAnsi="宋体" w:cs="宋体" w:hint="eastAsia"/>
                <w:sz w:val="18"/>
                <w:szCs w:val="18"/>
              </w:rPr>
              <w:t>实际合计持有1</w:t>
            </w:r>
            <w:r>
              <w:rPr>
                <w:rFonts w:ascii="宋体" w:eastAsia="宋体" w:hAnsi="宋体" w:cs="宋体"/>
                <w:sz w:val="18"/>
                <w:szCs w:val="18"/>
              </w:rPr>
              <w:t>86,087,400</w:t>
            </w:r>
            <w:r>
              <w:rPr>
                <w:rFonts w:ascii="宋体" w:eastAsia="宋体" w:hAnsi="宋体" w:cs="宋体" w:hint="eastAsia"/>
                <w:sz w:val="18"/>
                <w:szCs w:val="18"/>
              </w:rPr>
              <w:t>股；</w:t>
            </w:r>
            <w:r w:rsidRPr="008B5490">
              <w:rPr>
                <w:rFonts w:ascii="宋体" w:eastAsia="宋体" w:hAnsi="宋体" w:cs="宋体"/>
                <w:sz w:val="18"/>
                <w:szCs w:val="18"/>
              </w:rPr>
              <w:t>谢慧明</w:t>
            </w:r>
            <w:r w:rsidRPr="001F74D1">
              <w:rPr>
                <w:rFonts w:ascii="宋体" w:eastAsia="宋体" w:hAnsi="宋体" w:cs="宋体" w:hint="eastAsia"/>
                <w:sz w:val="18"/>
                <w:szCs w:val="18"/>
              </w:rPr>
              <w:t>通过普通证券账户持有</w:t>
            </w:r>
            <w:r w:rsidRPr="001F74D1">
              <w:rPr>
                <w:rFonts w:ascii="宋体" w:eastAsia="宋体" w:hAnsi="宋体" w:cs="宋体"/>
                <w:sz w:val="18"/>
                <w:szCs w:val="18"/>
              </w:rPr>
              <w:t xml:space="preserve">0 </w:t>
            </w:r>
            <w:r>
              <w:rPr>
                <w:rFonts w:ascii="宋体" w:eastAsia="宋体" w:hAnsi="宋体" w:cs="宋体" w:hint="eastAsia"/>
                <w:sz w:val="18"/>
                <w:szCs w:val="18"/>
              </w:rPr>
              <w:t>股</w:t>
            </w:r>
            <w:r w:rsidRPr="001F74D1">
              <w:rPr>
                <w:rFonts w:ascii="宋体" w:eastAsia="宋体" w:hAnsi="宋体" w:cs="宋体" w:hint="eastAsia"/>
                <w:sz w:val="18"/>
                <w:szCs w:val="18"/>
              </w:rPr>
              <w:t>，</w:t>
            </w:r>
            <w:r>
              <w:rPr>
                <w:rFonts w:ascii="宋体" w:eastAsia="宋体" w:hAnsi="宋体" w:cs="宋体"/>
                <w:sz w:val="18"/>
                <w:szCs w:val="18"/>
              </w:rPr>
              <w:t>通过西南证券股份有限公司客户信用交易担保证券账户持有</w:t>
            </w:r>
            <w:r w:rsidRPr="008B5490">
              <w:rPr>
                <w:rFonts w:ascii="宋体" w:eastAsia="宋体" w:hAnsi="宋体" w:cs="宋体"/>
                <w:sz w:val="18"/>
                <w:szCs w:val="18"/>
              </w:rPr>
              <w:t>15,480,600股，</w:t>
            </w:r>
            <w:r>
              <w:rPr>
                <w:rFonts w:ascii="宋体" w:eastAsia="宋体" w:hAnsi="宋体" w:cs="宋体" w:hint="eastAsia"/>
                <w:sz w:val="18"/>
                <w:szCs w:val="18"/>
              </w:rPr>
              <w:t>实际合计持有1</w:t>
            </w:r>
            <w:r w:rsidRPr="008B5490">
              <w:rPr>
                <w:rFonts w:ascii="宋体" w:eastAsia="宋体" w:hAnsi="宋体" w:cs="宋体"/>
                <w:sz w:val="18"/>
                <w:szCs w:val="18"/>
              </w:rPr>
              <w:t>5,480,600</w:t>
            </w:r>
            <w:r>
              <w:rPr>
                <w:rFonts w:ascii="宋体" w:eastAsia="宋体" w:hAnsi="宋体" w:cs="宋体" w:hint="eastAsia"/>
                <w:sz w:val="18"/>
                <w:szCs w:val="18"/>
              </w:rPr>
              <w:t>股。</w:t>
            </w:r>
          </w:p>
        </w:tc>
      </w:tr>
    </w:tbl>
    <w:p w:rsidR="004D58E7" w:rsidRDefault="00721935" w:rsidP="00BC66F2">
      <w:pPr>
        <w:spacing w:line="360" w:lineRule="auto"/>
        <w:rPr>
          <w:rFonts w:ascii="宋体" w:eastAsia="宋体" w:hAnsi="宋体" w:cs="宋体"/>
          <w:sz w:val="18"/>
          <w:szCs w:val="18"/>
        </w:rPr>
      </w:pPr>
      <w:r>
        <w:rPr>
          <w:rFonts w:ascii="宋体" w:eastAsia="宋体" w:hAnsi="宋体" w:cs="宋体"/>
          <w:sz w:val="18"/>
          <w:szCs w:val="18"/>
        </w:rPr>
        <w:t>持股5%以上股东、前10名股东及前10名无限售流通股股东参与转融通业务出借股份情况</w:t>
      </w:r>
    </w:p>
    <w:p w:rsidR="004D58E7" w:rsidRDefault="00721935" w:rsidP="00BC66F2">
      <w:pPr>
        <w:spacing w:line="360" w:lineRule="auto"/>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4D58E7" w:rsidRDefault="00721935" w:rsidP="00BC66F2">
      <w:pPr>
        <w:spacing w:line="360" w:lineRule="auto"/>
        <w:rPr>
          <w:rFonts w:ascii="宋体" w:eastAsia="宋体" w:hAnsi="宋体" w:cs="宋体"/>
          <w:sz w:val="18"/>
          <w:szCs w:val="18"/>
        </w:rPr>
      </w:pPr>
      <w:r>
        <w:rPr>
          <w:rFonts w:ascii="宋体" w:eastAsia="宋体" w:hAnsi="宋体" w:cs="宋体"/>
          <w:sz w:val="18"/>
          <w:szCs w:val="18"/>
        </w:rPr>
        <w:t>前10名股东及前10名无限售流通股股东因转融通出借/归还原因导致较上期发生变化</w:t>
      </w:r>
    </w:p>
    <w:p w:rsidR="004D58E7" w:rsidRDefault="00721935" w:rsidP="00BC66F2">
      <w:pPr>
        <w:spacing w:line="360" w:lineRule="auto"/>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4D58E7" w:rsidRDefault="00721935">
      <w:pPr>
        <w:keepNext/>
        <w:keepLines/>
        <w:spacing w:before="300" w:after="300" w:line="280" w:lineRule="exact"/>
        <w:outlineLvl w:val="3"/>
        <w:rPr>
          <w:rFonts w:ascii="宋体" w:eastAsia="宋体" w:hAnsi="宋体" w:cs="宋体"/>
          <w:b/>
          <w:bCs/>
          <w:sz w:val="18"/>
          <w:szCs w:val="18"/>
        </w:rPr>
      </w:pPr>
      <w:bookmarkStart w:id="9" w:name="_Toc988898"/>
      <w:r>
        <w:rPr>
          <w:rFonts w:ascii="宋体" w:eastAsia="宋体" w:hAnsi="宋体" w:cs="宋体"/>
          <w:b/>
          <w:bCs/>
          <w:sz w:val="18"/>
          <w:szCs w:val="18"/>
        </w:rPr>
        <w:t>（2） 公司优先股股东总数及前10名优先股股东持股情况表</w:t>
      </w:r>
      <w:bookmarkEnd w:id="9"/>
    </w:p>
    <w:p w:rsidR="004D58E7" w:rsidRDefault="00721935" w:rsidP="00BC66F2">
      <w:pPr>
        <w:spacing w:line="360" w:lineRule="auto"/>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4D58E7" w:rsidRDefault="00721935" w:rsidP="00BC66F2">
      <w:pPr>
        <w:spacing w:line="360" w:lineRule="auto"/>
        <w:rPr>
          <w:rFonts w:ascii="宋体" w:eastAsia="宋体" w:hAnsi="宋体" w:cs="宋体"/>
          <w:sz w:val="18"/>
          <w:szCs w:val="18"/>
        </w:rPr>
      </w:pPr>
      <w:r>
        <w:rPr>
          <w:rFonts w:ascii="宋体" w:eastAsia="宋体" w:hAnsi="宋体" w:cs="宋体"/>
          <w:sz w:val="18"/>
          <w:szCs w:val="18"/>
        </w:rPr>
        <w:t>公司报告期无优先股股东持股情况。</w:t>
      </w:r>
    </w:p>
    <w:p w:rsidR="004D58E7" w:rsidRDefault="00721935">
      <w:pPr>
        <w:keepNext/>
        <w:keepLines/>
        <w:spacing w:before="300" w:after="300" w:line="280" w:lineRule="exact"/>
        <w:outlineLvl w:val="3"/>
        <w:rPr>
          <w:rFonts w:ascii="宋体" w:eastAsia="宋体" w:hAnsi="宋体" w:cs="宋体"/>
          <w:b/>
          <w:bCs/>
          <w:sz w:val="18"/>
          <w:szCs w:val="18"/>
        </w:rPr>
      </w:pPr>
      <w:bookmarkStart w:id="10" w:name="_Toc988899"/>
      <w:r>
        <w:rPr>
          <w:rFonts w:ascii="宋体" w:eastAsia="宋体" w:hAnsi="宋体" w:cs="宋体"/>
          <w:b/>
          <w:bCs/>
          <w:sz w:val="18"/>
          <w:szCs w:val="18"/>
        </w:rPr>
        <w:lastRenderedPageBreak/>
        <w:t>（3） 以方框图形式披露公司与实际控制人之间的产权及控制关系</w:t>
      </w:r>
      <w:bookmarkEnd w:id="10"/>
    </w:p>
    <w:p w:rsidR="004D58E7" w:rsidRDefault="00721935" w:rsidP="00D300E2">
      <w:pPr>
        <w:spacing w:before="40" w:after="40" w:line="0" w:lineRule="atLeast"/>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2409825" cy="230005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6" cstate="print">
                      <a:extLst/>
                    </a:blip>
                    <a:stretch>
                      <a:fillRect/>
                    </a:stretch>
                  </pic:blipFill>
                  <pic:spPr>
                    <a:xfrm>
                      <a:off x="0" y="0"/>
                      <a:ext cx="2412834" cy="2302922"/>
                    </a:xfrm>
                    <a:prstGeom prst="rect">
                      <a:avLst/>
                    </a:prstGeom>
                  </pic:spPr>
                </pic:pic>
              </a:graphicData>
            </a:graphic>
          </wp:inline>
        </w:drawing>
      </w:r>
    </w:p>
    <w:p w:rsidR="004D58E7" w:rsidRDefault="00721935">
      <w:pPr>
        <w:pStyle w:val="3"/>
        <w:spacing w:line="280" w:lineRule="exact"/>
        <w:jc w:val="left"/>
        <w:rPr>
          <w:rFonts w:ascii="宋体" w:hAnsi="宋体" w:cs="宋体"/>
          <w:b/>
          <w:bCs/>
        </w:rPr>
      </w:pPr>
      <w:bookmarkStart w:id="11" w:name="_Toc988900"/>
      <w:r>
        <w:rPr>
          <w:rFonts w:ascii="宋体" w:hAnsi="宋体" w:cs="宋体"/>
          <w:b/>
          <w:bCs/>
        </w:rPr>
        <w:t>5、在年度报告批准报出日存续的债券情况</w:t>
      </w:r>
      <w:bookmarkEnd w:id="11"/>
    </w:p>
    <w:p w:rsidR="004D58E7" w:rsidRDefault="00721935" w:rsidP="00BC66F2">
      <w:pPr>
        <w:spacing w:line="360" w:lineRule="auto"/>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4D58E7" w:rsidRDefault="00721935">
      <w:pPr>
        <w:pStyle w:val="2"/>
        <w:spacing w:before="300" w:after="300" w:line="320" w:lineRule="exact"/>
        <w:rPr>
          <w:rFonts w:ascii="宋体" w:eastAsia="宋体" w:hAnsi="宋体" w:cs="宋体"/>
          <w:b/>
          <w:bCs/>
          <w:sz w:val="24"/>
          <w:szCs w:val="24"/>
        </w:rPr>
      </w:pPr>
      <w:bookmarkStart w:id="12" w:name="_Toc988901"/>
      <w:r>
        <w:rPr>
          <w:rFonts w:ascii="宋体" w:eastAsia="宋体" w:hAnsi="宋体" w:cs="宋体"/>
          <w:b/>
          <w:bCs/>
          <w:sz w:val="24"/>
          <w:szCs w:val="24"/>
        </w:rPr>
        <w:t>三、重要事项</w:t>
      </w:r>
      <w:bookmarkEnd w:id="12"/>
    </w:p>
    <w:p w:rsidR="005E32AD" w:rsidRDefault="00721935" w:rsidP="00D300E2">
      <w:pPr>
        <w:pStyle w:val="a3"/>
        <w:shd w:val="clear" w:color="auto" w:fill="FFFFFF"/>
        <w:spacing w:before="0" w:beforeAutospacing="0" w:after="0" w:afterAutospacing="0" w:line="360" w:lineRule="auto"/>
        <w:ind w:firstLine="560"/>
        <w:jc w:val="both"/>
        <w:divId w:val="1672370024"/>
        <w:rPr>
          <w:sz w:val="21"/>
          <w:szCs w:val="21"/>
        </w:rPr>
      </w:pPr>
      <w:r w:rsidRPr="00D300E2">
        <w:rPr>
          <w:rFonts w:hint="eastAsia"/>
          <w:sz w:val="21"/>
          <w:szCs w:val="21"/>
        </w:rPr>
        <w:t>详见公司同日在巨潮资讯网（http://www.cninfo.com.cn/）刊登的《2024年度报告全文》“第六节重要事项”之“十六、其他重大事项的说明”。</w:t>
      </w:r>
    </w:p>
    <w:p w:rsidR="00D300E2" w:rsidRDefault="00D300E2" w:rsidP="00D300E2">
      <w:pPr>
        <w:pStyle w:val="a3"/>
        <w:shd w:val="clear" w:color="auto" w:fill="FFFFFF"/>
        <w:spacing w:before="0" w:beforeAutospacing="0" w:after="0" w:afterAutospacing="0" w:line="360" w:lineRule="auto"/>
        <w:ind w:firstLine="560"/>
        <w:jc w:val="both"/>
        <w:divId w:val="1672370024"/>
        <w:rPr>
          <w:sz w:val="21"/>
          <w:szCs w:val="21"/>
        </w:rPr>
      </w:pPr>
    </w:p>
    <w:p w:rsidR="00D300E2" w:rsidRDefault="00D300E2" w:rsidP="00D300E2">
      <w:pPr>
        <w:pStyle w:val="a3"/>
        <w:shd w:val="clear" w:color="auto" w:fill="FFFFFF"/>
        <w:spacing w:before="0" w:beforeAutospacing="0" w:after="0" w:afterAutospacing="0" w:line="360" w:lineRule="auto"/>
        <w:ind w:firstLine="560"/>
        <w:jc w:val="both"/>
        <w:divId w:val="1672370024"/>
        <w:rPr>
          <w:sz w:val="21"/>
          <w:szCs w:val="21"/>
        </w:rPr>
      </w:pPr>
    </w:p>
    <w:p w:rsidR="00D300E2" w:rsidRDefault="00D300E2" w:rsidP="00D300E2">
      <w:pPr>
        <w:pStyle w:val="a3"/>
        <w:shd w:val="clear" w:color="auto" w:fill="FFFFFF"/>
        <w:spacing w:before="0" w:beforeAutospacing="0" w:after="0" w:afterAutospacing="0" w:line="360" w:lineRule="auto"/>
        <w:ind w:firstLine="560"/>
        <w:jc w:val="both"/>
        <w:divId w:val="1672370024"/>
        <w:rPr>
          <w:sz w:val="21"/>
          <w:szCs w:val="21"/>
        </w:rPr>
      </w:pPr>
    </w:p>
    <w:p w:rsidR="00D300E2" w:rsidRDefault="00D300E2" w:rsidP="00D300E2">
      <w:pPr>
        <w:pStyle w:val="a3"/>
        <w:shd w:val="clear" w:color="auto" w:fill="FFFFFF"/>
        <w:spacing w:before="0" w:beforeAutospacing="0" w:after="0" w:afterAutospacing="0" w:line="360" w:lineRule="auto"/>
        <w:ind w:firstLine="560"/>
        <w:jc w:val="both"/>
        <w:divId w:val="1672370024"/>
        <w:rPr>
          <w:sz w:val="21"/>
          <w:szCs w:val="21"/>
        </w:rPr>
      </w:pPr>
    </w:p>
    <w:p w:rsidR="00D300E2" w:rsidRDefault="00D300E2" w:rsidP="00D300E2">
      <w:pPr>
        <w:pStyle w:val="a3"/>
        <w:shd w:val="clear" w:color="auto" w:fill="FFFFFF"/>
        <w:spacing w:before="0" w:beforeAutospacing="0" w:after="0" w:afterAutospacing="0" w:line="360" w:lineRule="auto"/>
        <w:ind w:firstLine="560"/>
        <w:jc w:val="both"/>
        <w:divId w:val="1672370024"/>
        <w:rPr>
          <w:sz w:val="21"/>
          <w:szCs w:val="21"/>
        </w:rPr>
      </w:pPr>
    </w:p>
    <w:p w:rsidR="00D300E2" w:rsidRPr="001672DA" w:rsidRDefault="00D300E2" w:rsidP="00D300E2">
      <w:pPr>
        <w:autoSpaceDE w:val="0"/>
        <w:autoSpaceDN w:val="0"/>
        <w:adjustRightInd w:val="0"/>
        <w:ind w:firstLineChars="500" w:firstLine="1205"/>
        <w:divId w:val="1672370024"/>
        <w:rPr>
          <w:rFonts w:ascii="宋体" w:eastAsia="宋体" w:hAnsi="宋体"/>
          <w:kern w:val="0"/>
          <w:sz w:val="28"/>
          <w:szCs w:val="28"/>
        </w:rPr>
      </w:pPr>
      <w:r>
        <w:rPr>
          <w:rFonts w:ascii="宋体" w:eastAsia="宋体" w:hAnsi="宋体" w:cs="宋体" w:hint="eastAsia"/>
          <w:b/>
          <w:kern w:val="0"/>
          <w:sz w:val="24"/>
          <w:szCs w:val="24"/>
          <w:lang w:val="zh-CN"/>
        </w:rPr>
        <w:t>法定代表人</w:t>
      </w:r>
      <w:r>
        <w:rPr>
          <w:rFonts w:ascii="宋体" w:eastAsia="宋体" w:hAnsi="宋体" w:cs="宋体" w:hint="eastAsia"/>
          <w:b/>
          <w:kern w:val="0"/>
          <w:sz w:val="24"/>
          <w:szCs w:val="24"/>
        </w:rPr>
        <w:t>：</w:t>
      </w:r>
      <w:r w:rsidRPr="00C6665E">
        <w:rPr>
          <w:rFonts w:ascii="仿宋" w:eastAsia="仿宋" w:hAnsi="仿宋" w:hint="eastAsia"/>
          <w:kern w:val="0"/>
          <w:sz w:val="28"/>
          <w:szCs w:val="28"/>
        </w:rPr>
        <w:t xml:space="preserve"> </w:t>
      </w:r>
      <w:r w:rsidR="00C6665E" w:rsidRPr="001672DA">
        <w:rPr>
          <w:rFonts w:ascii="宋体" w:eastAsia="宋体" w:hAnsi="宋体" w:hint="eastAsia"/>
          <w:kern w:val="0"/>
          <w:sz w:val="28"/>
          <w:szCs w:val="28"/>
        </w:rPr>
        <w:t>李 忠</w:t>
      </w:r>
      <w:bookmarkStart w:id="13" w:name="_GoBack"/>
      <w:bookmarkEnd w:id="13"/>
    </w:p>
    <w:p w:rsidR="00D300E2" w:rsidRDefault="00D300E2" w:rsidP="00D300E2">
      <w:pPr>
        <w:spacing w:before="100" w:after="100" w:line="360" w:lineRule="auto"/>
        <w:jc w:val="right"/>
        <w:divId w:val="1672370024"/>
        <w:rPr>
          <w:rFonts w:ascii="宋体" w:eastAsia="宋体" w:hAnsi="宋体" w:cs="宋体"/>
          <w:szCs w:val="21"/>
        </w:rPr>
      </w:pPr>
    </w:p>
    <w:p w:rsidR="00D300E2" w:rsidRDefault="00D300E2" w:rsidP="00D300E2">
      <w:pPr>
        <w:spacing w:before="100" w:after="100" w:line="360" w:lineRule="auto"/>
        <w:jc w:val="right"/>
        <w:divId w:val="1672370024"/>
        <w:rPr>
          <w:rFonts w:ascii="宋体" w:eastAsia="宋体" w:hAnsi="宋体" w:cs="宋体"/>
          <w:szCs w:val="21"/>
        </w:rPr>
      </w:pPr>
    </w:p>
    <w:p w:rsidR="00D300E2" w:rsidRDefault="00D300E2" w:rsidP="00D300E2">
      <w:pPr>
        <w:spacing w:before="100" w:after="100" w:line="360" w:lineRule="auto"/>
        <w:jc w:val="right"/>
        <w:divId w:val="1672370024"/>
        <w:rPr>
          <w:rFonts w:ascii="宋体" w:eastAsia="宋体" w:hAnsi="宋体" w:cs="宋体"/>
          <w:szCs w:val="21"/>
        </w:rPr>
      </w:pPr>
      <w:r>
        <w:rPr>
          <w:rFonts w:ascii="宋体" w:eastAsia="宋体" w:hAnsi="宋体" w:cs="宋体" w:hint="eastAsia"/>
          <w:szCs w:val="21"/>
        </w:rPr>
        <w:t>广东甘化科工股份有限公司董事会</w:t>
      </w:r>
    </w:p>
    <w:p w:rsidR="00D300E2" w:rsidRDefault="00D300E2" w:rsidP="00D300E2">
      <w:pPr>
        <w:spacing w:before="100" w:after="100" w:line="360" w:lineRule="auto"/>
        <w:ind w:right="420"/>
        <w:jc w:val="right"/>
        <w:divId w:val="1672370024"/>
        <w:rPr>
          <w:rFonts w:ascii="宋体" w:eastAsia="宋体" w:hAnsi="宋体" w:cs="宋体"/>
          <w:szCs w:val="21"/>
        </w:rPr>
      </w:pPr>
      <w:r>
        <w:rPr>
          <w:rFonts w:ascii="宋体" w:eastAsia="宋体" w:hAnsi="宋体" w:cs="宋体" w:hint="eastAsia"/>
          <w:szCs w:val="21"/>
        </w:rPr>
        <w:t>二〇二五年四月十九日</w:t>
      </w:r>
    </w:p>
    <w:p w:rsidR="00D300E2" w:rsidRPr="00D300E2" w:rsidRDefault="00D300E2" w:rsidP="00D300E2">
      <w:pPr>
        <w:pStyle w:val="a3"/>
        <w:shd w:val="clear" w:color="auto" w:fill="FFFFFF"/>
        <w:spacing w:before="0" w:beforeAutospacing="0" w:after="0" w:afterAutospacing="0" w:line="360" w:lineRule="auto"/>
        <w:ind w:firstLine="560"/>
        <w:jc w:val="both"/>
        <w:divId w:val="1672370024"/>
        <w:rPr>
          <w:sz w:val="21"/>
          <w:szCs w:val="21"/>
        </w:rPr>
      </w:pPr>
    </w:p>
    <w:sectPr w:rsidR="00D300E2" w:rsidRPr="00D300E2">
      <w:headerReference w:type="default" r:id="rId7"/>
      <w:footerReference w:type="default" r:id="rId8"/>
      <w:pgSz w:w="11905" w:h="16840"/>
      <w:pgMar w:top="850" w:right="1134" w:bottom="85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FD1" w:rsidRDefault="006D3FD1">
      <w:r>
        <w:separator/>
      </w:r>
    </w:p>
  </w:endnote>
  <w:endnote w:type="continuationSeparator" w:id="0">
    <w:p w:rsidR="006D3FD1" w:rsidRDefault="006D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8E7" w:rsidRDefault="00721935">
    <w:pPr>
      <w:pStyle w:val="fotter1"/>
    </w:pPr>
    <w:r>
      <w:fldChar w:fldCharType="begin"/>
    </w:r>
    <w:r>
      <w:instrText>PAGE   \* MERGEFORMAT</w:instrText>
    </w:r>
    <w:r>
      <w:fldChar w:fldCharType="separate"/>
    </w:r>
    <w:r w:rsidR="001672DA">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FD1" w:rsidRDefault="006D3FD1">
      <w:r>
        <w:separator/>
      </w:r>
    </w:p>
  </w:footnote>
  <w:footnote w:type="continuationSeparator" w:id="0">
    <w:p w:rsidR="006D3FD1" w:rsidRDefault="006D3F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8E7" w:rsidRDefault="00721935">
    <w:pPr>
      <w:pStyle w:val="Header1"/>
      <w:pBdr>
        <w:bottom w:val="single" w:sz="6" w:space="1" w:color="auto"/>
      </w:pBdr>
    </w:pPr>
    <w:r>
      <w:t>广东甘化科工股份有限公司2024年度报告摘要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4D58E7"/>
    <w:rsid w:val="0002640E"/>
    <w:rsid w:val="0005037C"/>
    <w:rsid w:val="000D1F3A"/>
    <w:rsid w:val="000E21B7"/>
    <w:rsid w:val="001672DA"/>
    <w:rsid w:val="002C3BD0"/>
    <w:rsid w:val="00301667"/>
    <w:rsid w:val="004D58E7"/>
    <w:rsid w:val="0058011F"/>
    <w:rsid w:val="005E32AD"/>
    <w:rsid w:val="006D3FD1"/>
    <w:rsid w:val="00721935"/>
    <w:rsid w:val="008F4163"/>
    <w:rsid w:val="00987E03"/>
    <w:rsid w:val="009D31FB"/>
    <w:rsid w:val="00A95A80"/>
    <w:rsid w:val="00BC66F2"/>
    <w:rsid w:val="00C6665E"/>
    <w:rsid w:val="00CD31D4"/>
    <w:rsid w:val="00D00B91"/>
    <w:rsid w:val="00D1042A"/>
    <w:rsid w:val="00D300E2"/>
    <w:rsid w:val="00EC5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3CEB"/>
  <w15:docId w15:val="{37ADB249-A192-4334-BF7E-CA59B9DF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center"/>
    </w:pPr>
    <w:rPr>
      <w:rFonts w:ascii="仿宋" w:eastAsia="仿宋"/>
      <w:szCs w:val="21"/>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header"/>
    <w:basedOn w:val="a"/>
    <w:link w:val="a6"/>
    <w:uiPriority w:val="99"/>
    <w:unhideWhenUsed/>
    <w:rsid w:val="00D300E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300E2"/>
    <w:rPr>
      <w:sz w:val="18"/>
      <w:szCs w:val="18"/>
    </w:rPr>
  </w:style>
  <w:style w:type="paragraph" w:styleId="a7">
    <w:name w:val="footer"/>
    <w:basedOn w:val="a"/>
    <w:link w:val="a8"/>
    <w:uiPriority w:val="99"/>
    <w:unhideWhenUsed/>
    <w:rsid w:val="00D300E2"/>
    <w:pPr>
      <w:tabs>
        <w:tab w:val="center" w:pos="4153"/>
        <w:tab w:val="right" w:pos="8306"/>
      </w:tabs>
      <w:snapToGrid w:val="0"/>
    </w:pPr>
    <w:rPr>
      <w:sz w:val="18"/>
      <w:szCs w:val="18"/>
    </w:rPr>
  </w:style>
  <w:style w:type="character" w:customStyle="1" w:styleId="a8">
    <w:name w:val="页脚 字符"/>
    <w:basedOn w:val="a0"/>
    <w:link w:val="a7"/>
    <w:uiPriority w:val="99"/>
    <w:rsid w:val="00D30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370024">
      <w:bodyDiv w:val="1"/>
      <w:marLeft w:val="0"/>
      <w:marRight w:val="0"/>
      <w:marTop w:val="0"/>
      <w:marBottom w:val="0"/>
      <w:divBdr>
        <w:top w:val="none" w:sz="0" w:space="0" w:color="auto"/>
        <w:left w:val="none" w:sz="0" w:space="0" w:color="auto"/>
        <w:bottom w:val="none" w:sz="0" w:space="0" w:color="auto"/>
        <w:right w:val="none" w:sz="0" w:space="0" w:color="auto"/>
      </w:divBdr>
      <w:divsChild>
        <w:div w:id="1148084815">
          <w:marLeft w:val="0"/>
          <w:marRight w:val="0"/>
          <w:marTop w:val="0"/>
          <w:marBottom w:val="0"/>
          <w:divBdr>
            <w:top w:val="none" w:sz="0" w:space="0" w:color="auto"/>
            <w:left w:val="none" w:sz="0" w:space="0" w:color="auto"/>
            <w:bottom w:val="none" w:sz="0" w:space="0" w:color="auto"/>
            <w:right w:val="none" w:sz="0" w:space="0" w:color="auto"/>
          </w:divBdr>
        </w:div>
      </w:divsChild>
    </w:div>
    <w:div w:id="1793278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14</cp:revision>
  <dcterms:created xsi:type="dcterms:W3CDTF">2025-04-14T01:16:00Z</dcterms:created>
  <dcterms:modified xsi:type="dcterms:W3CDTF">2025-04-18T02:16:00Z</dcterms:modified>
</cp:coreProperties>
</file>